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6D" w:rsidRPr="00AF496D" w:rsidRDefault="00AF496D" w:rsidP="00AF496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center"/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</w:pPr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 xml:space="preserve">عقد </w:t>
      </w:r>
      <w:proofErr w:type="spellStart"/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>الفر</w:t>
      </w:r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ا</w:t>
      </w:r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>نشيز</w:t>
      </w:r>
      <w:proofErr w:type="spellEnd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 xml:space="preserve"> </w:t>
      </w:r>
      <w:proofErr w:type="spellStart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(</w:t>
      </w:r>
      <w:proofErr w:type="spellEnd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 xml:space="preserve"> عقد الامتياز التجاري</w:t>
      </w:r>
      <w:proofErr w:type="spellStart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)</w:t>
      </w:r>
      <w:proofErr w:type="spellEnd"/>
    </w:p>
    <w:p w:rsidR="00B25CC4" w:rsidRPr="00AC4EA0" w:rsidRDefault="00AC4EA0" w:rsidP="00AC4EA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AC4EA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من خلال </w:t>
      </w:r>
      <w:proofErr w:type="spellStart"/>
      <w:r w:rsidR="00B25CC4" w:rsidRPr="00AC4EA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التع</w:t>
      </w:r>
      <w:r w:rsidRPr="00AC4EA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</w:t>
      </w:r>
      <w:r w:rsidR="00B25CC4" w:rsidRPr="00AC4EA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ريف</w:t>
      </w:r>
      <w:proofErr w:type="spellEnd"/>
      <w:r w:rsidR="00A32746" w:rsidRPr="00AC4EA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AC4EA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السابقة يستنتج أنه </w:t>
      </w:r>
      <w:r w:rsidRPr="00AC4EA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لإدارة نشاط </w:t>
      </w:r>
      <w:proofErr w:type="spellStart"/>
      <w:r w:rsidRPr="00AC4EA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Pr="00AC4EA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لا بد من </w:t>
      </w:r>
      <w:r w:rsidR="00A32746" w:rsidRPr="00AC4EA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وجود</w:t>
      </w:r>
      <w:r w:rsidR="00B25CC4" w:rsidRPr="00AC4EA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r w:rsidR="00A32746" w:rsidRPr="00AC4EA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</w:t>
      </w:r>
      <w:r w:rsidR="00B25CC4" w:rsidRPr="00AC4EA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عناصر </w:t>
      </w:r>
      <w:r w:rsidRPr="00AC4EA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التالية</w:t>
      </w:r>
      <w:r w:rsidR="00B25CC4" w:rsidRPr="00AC4EA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   </w:t>
      </w:r>
    </w:p>
    <w:p w:rsidR="00B25CC4" w:rsidRPr="00D537EF" w:rsidRDefault="00AC4EA0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1-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المانح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 xml:space="preserve"> le franchiseur : </w:t>
      </w:r>
      <w:r w:rsidR="00B25CC4"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هو كل شخص طبيعي أو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معنوي،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تاجر أو حرفي أو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صناعي،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صاحب معرفة فنية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مختبرة،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ملكية أو حق استعمال إشارات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مميزة،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ومجموعة</w:t>
      </w:r>
      <w:r w:rsidR="00B25CC4"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منتجات أو خدمات</w:t>
      </w:r>
      <w:r w:rsidR="00B25CC4"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أو تقنية تكنولوجية.</w:t>
      </w:r>
    </w:p>
    <w:p w:rsidR="00B25CC4" w:rsidRDefault="00AC4EA0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2-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الممنوح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 xml:space="preserve"> le franchisée :</w:t>
      </w:r>
      <w:r w:rsidR="00B25CC4"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  <w:r w:rsidR="00B25CC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هو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شخص طبيعي أو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معنوي،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متعهد مستقل قانونيا واقتصاديا مرتبط بعقد مع المانح ليحصل بموجبه على حق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الفرانشيز،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ويقوم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بتشغيله،</w:t>
      </w:r>
      <w:proofErr w:type="spellEnd"/>
      <w:r w:rsidR="00B25CC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مستخدما نفس اسم المانح التجاري</w:t>
      </w:r>
      <w:r w:rsidR="00B25CC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وعلامته التجارية ومعرفته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الفنية،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بعد أن يقوم المانح بتدريبه على طريقة التشغيل</w:t>
      </w:r>
      <w:r w:rsidR="00B25CC4"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                   </w:t>
      </w:r>
    </w:p>
    <w:p w:rsidR="00B25CC4" w:rsidRPr="00D537EF" w:rsidRDefault="00AC4EA0" w:rsidP="00C26F3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3-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شبكة </w:t>
      </w:r>
      <w:proofErr w:type="spellStart"/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="00B25CC4"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 xml:space="preserve">: le réseau </w:t>
      </w:r>
      <w:r w:rsidR="00B25CC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تنظيم من خلق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شركة</w:t>
      </w:r>
      <w:r w:rsidR="00C26F3A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C26F3A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تقوم ب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توز</w:t>
      </w:r>
      <w:r w:rsidR="00C26F3A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 عناصرها على مختلف نقاط البيع في أحد الأسواق من </w:t>
      </w:r>
      <w:r w:rsidR="00B25CC4"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جل ممارسة نشاطها على امتداد هذه السوق</w:t>
      </w:r>
      <w:r w:rsidR="00B25CC4"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B25CC4" w:rsidRPr="00D537EF" w:rsidRDefault="00AC4EA0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4-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حزمة </w:t>
      </w:r>
      <w:proofErr w:type="spellStart"/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="00B25CC4"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 xml:space="preserve"> </w:t>
      </w:r>
      <w:proofErr w:type="spellStart"/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>pakage</w:t>
      </w:r>
      <w:proofErr w:type="spellEnd"/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 xml:space="preserve"> franchise</w:t>
      </w:r>
      <w:r w:rsidR="00B25CC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: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="00B25CC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تتضمن المعرفة </w:t>
      </w:r>
      <w:proofErr w:type="spellStart"/>
      <w:r w:rsidR="00B25CC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الفنية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المساعدة المستمرة وعناصر ملكية المانح الفكرية</w:t>
      </w:r>
      <w:r w:rsidR="00B25CC4"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1"/>
      </w:r>
      <w:r w:rsidR="00B25CC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Pr="00B00FFB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الفرع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</w:t>
      </w:r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proofErr w:type="spellEnd"/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خصائص عقد </w:t>
      </w:r>
      <w:proofErr w:type="spellStart"/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</w:t>
      </w:r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ر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انشيز</w:t>
      </w:r>
      <w:proofErr w:type="spellEnd"/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lang w:eastAsia="en-US"/>
        </w:rPr>
        <w:t>:</w:t>
      </w:r>
    </w:p>
    <w:p w:rsidR="00FC2E2C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يتمي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ز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عقد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بجملة من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الخصائص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نذكرها فيما يلي: </w:t>
      </w:r>
    </w:p>
    <w:p w:rsidR="00FC2E2C" w:rsidRDefault="00B25CC4" w:rsidP="003810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أو</w:t>
      </w:r>
      <w:r w:rsidRPr="00FC2E2C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لها</w:t>
      </w:r>
      <w:r w:rsidR="00FC2E2C"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:</w:t>
      </w:r>
      <w:proofErr w:type="spellEnd"/>
      <w:r w:rsidR="00FC2E2C"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عقد </w:t>
      </w:r>
      <w:proofErr w:type="spellStart"/>
      <w:r w:rsidR="00FC2E2C"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 w:rsidR="00FC2E2C"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هو </w:t>
      </w:r>
      <w:r w:rsidRPr="00FC2E2C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عقد </w:t>
      </w:r>
      <w:proofErr w:type="spellStart"/>
      <w:r w:rsidRPr="00FC2E2C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رضائي</w:t>
      </w:r>
      <w:r w:rsidR="0038104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38104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</w:t>
      </w:r>
      <w:r w:rsidR="00381044" w:rsidRPr="0038104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يعتبر من قبل المرخص عقد إذعان</w:t>
      </w:r>
      <w:r w:rsidR="00381044" w:rsidRPr="00381044"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2"/>
      </w:r>
      <w:r w:rsidR="00381044" w:rsidRPr="0038104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FC2E2C" w:rsidRDefault="00FC2E2C" w:rsidP="00FC2E2C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ثانيا: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عقد </w:t>
      </w:r>
      <w:proofErr w:type="spellStart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من </w:t>
      </w:r>
      <w:r w:rsidR="00B25CC4" w:rsidRPr="00FC2E2C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العقود غير المسماة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FC2E2C" w:rsidRDefault="00FC2E2C" w:rsidP="00FC2E2C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ثالثا: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عقد </w:t>
      </w:r>
      <w:proofErr w:type="spellStart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 العقود الملزمة للجانبين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وهو من </w:t>
      </w:r>
      <w:r w:rsidR="00B25CC4" w:rsidRPr="00FC2E2C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عقود </w:t>
      </w:r>
      <w:proofErr w:type="spellStart"/>
      <w:r w:rsidR="00B25CC4" w:rsidRPr="00FC2E2C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المعاوضة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FC2E2C" w:rsidRDefault="00FC2E2C" w:rsidP="00FC2E2C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رابعا: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يقوم </w:t>
      </w:r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عقد </w:t>
      </w:r>
      <w:proofErr w:type="spellStart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على </w:t>
      </w:r>
      <w:r w:rsidR="00B25CC4"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="00B25CC4" w:rsidRPr="00FC2E2C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عتبار الشخصي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381044" w:rsidRDefault="00FC2E2C" w:rsidP="00FC2E2C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lastRenderedPageBreak/>
        <w:t>خامسا: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يعتبر </w:t>
      </w:r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عقد </w:t>
      </w:r>
      <w:proofErr w:type="spellStart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من </w:t>
      </w:r>
      <w:r w:rsidR="00B25CC4" w:rsidRPr="0038104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العقود الت</w:t>
      </w:r>
      <w:r w:rsidR="00B25CC4" w:rsidRPr="0038104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جارية</w:t>
      </w:r>
      <w:r w:rsidR="00B25CC4" w:rsidRPr="0038104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، </w:t>
      </w:r>
    </w:p>
    <w:p w:rsidR="00381044" w:rsidRDefault="00381044" w:rsidP="003810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سادسا: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عقد </w:t>
      </w:r>
      <w:proofErr w:type="spellStart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هو من </w:t>
      </w:r>
      <w:r w:rsidR="00B25CC4" w:rsidRPr="0038104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عق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</w:t>
      </w:r>
      <w:r w:rsidR="00B25CC4" w:rsidRPr="0038104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="00B25CC4" w:rsidRPr="0038104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تدريب</w:t>
      </w:r>
      <w:r w:rsidR="00EC516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الفني والخبرة والدعم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Pr="00D537EF" w:rsidRDefault="00381044" w:rsidP="003810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سابعا:</w:t>
      </w:r>
      <w:proofErr w:type="spellEnd"/>
      <w:r w:rsidR="00B25CC4" w:rsidRPr="0038104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عقد </w:t>
      </w:r>
      <w:proofErr w:type="spellStart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 w:rsidRPr="00FC2E2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38104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 العقود المستمرة أي الزمنية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="00B25CC4" w:rsidRPr="0038104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المطلب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الثالث</w:t>
      </w:r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proofErr w:type="spellEnd"/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أنواع عقد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و</w:t>
      </w:r>
      <w:r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تمييز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ه 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عن ما يشاب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ه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ه</w:t>
      </w:r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من عقود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>:</w:t>
      </w:r>
    </w:p>
    <w:p w:rsidR="00AA2FFC" w:rsidRDefault="00AA2FFC" w:rsidP="00DB601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AA2FF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يمكن أن يتخذ عقد </w:t>
      </w:r>
      <w:proofErr w:type="spellStart"/>
      <w:r w:rsidRPr="00AA2FF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 w:rsidRPr="00AA2FF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عدة صور وأشكال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(الفرع الأول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AA2FF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AA2FF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مما يستوجب تمييزه عن ما يشابهه من عقود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(الفرع الثاني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).</w:t>
      </w:r>
      <w:proofErr w:type="spellEnd"/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الفرع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الأول: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أنواع عقد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Pr="000154AD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تتنوع الصور و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شكال التي يمكن أن يأخذها عقد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التجاري،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وهي تشترك جميعها في كونها 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اتفاق على كيفية استغ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 الطرق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التجارية،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وعناصر الملكية الفكرية والصناعية الخاصة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بالمرخص،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وتوفر 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الإ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شراف القريب والمستمر من المرخص على كيفية ممارسة المتلقي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لنشاطه،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بهدف الوصول إلى 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تكرار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النجاح التجاري الذي حققه 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ول. وتتمثل صور أو أشكال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 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تي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: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0154A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1.</w:t>
      </w:r>
      <w:r w:rsidRPr="000154A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عقد </w:t>
      </w:r>
      <w:proofErr w:type="spellStart"/>
      <w:r w:rsidRPr="000154A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فرانشيز</w:t>
      </w:r>
      <w:proofErr w:type="spellEnd"/>
      <w:r w:rsidRPr="000154A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التصنيع أو الإنتاج : </w:t>
      </w:r>
    </w:p>
    <w:p w:rsidR="00B25CC4" w:rsidRPr="000154AD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يعتمد هذا النوع من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على نقل المانح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لمعرفته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فيقوم الممنوح بتصنيع وتوزيع السلعة الفنية المتمثلة بالأسرار الصناعية للإنتاج للممنوح مستعينا بخبرات المانح في هذا المجال وبنماذجه القياسية التي يجب على الممنوح مراعاتها</w:t>
      </w:r>
      <w:r w:rsidRPr="000154AD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.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lang w:eastAsia="en-US"/>
        </w:rPr>
        <w:footnoteReference w:id="3"/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gram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حيث</w:t>
      </w:r>
      <w:proofErr w:type="gram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تحمل هذه المنتجات العلامة التجارية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للمانح،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وغالبا ما يتضمن العقد نقل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التكنولوجيا،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وكثيرا ما يشمل العقد 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الترخيص باستغلال براءة الاختراع أو حقا من حقوق الملكية الصناعية الأخرى. ومن أمثلته في الجزائر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: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شركة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جرجرة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للياغورت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التي وقعت عقد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فرانشيز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مع شركة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دانون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الفرنسية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4"/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.</w:t>
      </w:r>
      <w:r w:rsidRPr="000154AD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</w:p>
    <w:p w:rsidR="006737A5" w:rsidRPr="000154AD" w:rsidRDefault="006737A5" w:rsidP="006737A5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</w:p>
    <w:p w:rsidR="00B25CC4" w:rsidRPr="000154AD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0154A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lastRenderedPageBreak/>
        <w:t>2.</w:t>
      </w:r>
      <w:r w:rsidRPr="000154A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عقد </w:t>
      </w:r>
      <w:proofErr w:type="spellStart"/>
      <w:r w:rsidRPr="000154A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فرانشيز</w:t>
      </w:r>
      <w:proofErr w:type="spellEnd"/>
      <w:r w:rsidRPr="000154A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التوزيع </w:t>
      </w:r>
      <w:proofErr w:type="spellStart"/>
      <w:r w:rsidRPr="000154A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:</w:t>
      </w:r>
      <w:proofErr w:type="spellEnd"/>
      <w:r w:rsidRPr="000154A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هو تلك الحقوق التي تخول للممنوح الحق في توزيع منتجات</w:t>
      </w:r>
      <w:r w:rsidRPr="000154AD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ومن أمثلته في الجزائر : مجموعة مهري المنتج والموزع لمشروب بيبسي كولا في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الجزائر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وفي ظل هذا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النوع،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قد يكون المانح منتجا للسلع التي يقوم الممنوح بتوزيعها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–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وهذا هو الأصل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–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وقد لا يكون منتجا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لها،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بل 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يقوم بشرائها بعد الاتفاق مع منتجيها على وضع علامته التجارية وشعاره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عليها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قد يكون منتجا لبعض المنتجات ومشتريا لبعضها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الآخر من المنتجين بالكيفية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المذكورة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ويلاحظ أن هذا النوع من عقود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عادة ما يقترن بإعطاء الممنوح حق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proofErr w:type="spellStart"/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الحصرية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؛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أي أن يكون الموزع الوحيد لمنتجات المانح في منطقة معينة وهو ما يعرف بعقد التوزيع الحصري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5"/>
      </w:r>
      <w:r w:rsidRPr="000154AD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.</w:t>
      </w:r>
    </w:p>
    <w:p w:rsidR="00B25CC4" w:rsidRPr="000154AD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0154A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3.</w:t>
      </w:r>
      <w:r w:rsidRPr="000154A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r w:rsidRPr="000154A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عقد </w:t>
      </w:r>
      <w:proofErr w:type="spellStart"/>
      <w:r w:rsidRPr="000154A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فرانشيز</w:t>
      </w:r>
      <w:proofErr w:type="spellEnd"/>
      <w:r w:rsidRPr="000154A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الخدمات: 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في هذا النوع من عقود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يسمح العقد للمتلقي بأن يستخدم اسم المرخص أو المرخص وع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مته التجارية ليضعها على خدمات يقدمها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للغير،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ويلتزم فيها المتلقي بالنماذج والمواصفات التي يقدمها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المرخص،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يخضع كذلك إلى إشرافه ورقابت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ه. </w:t>
      </w:r>
    </w:p>
    <w:p w:rsidR="00B25CC4" w:rsidRPr="000154AD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ومن المفيد 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الإ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شارة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أيضا،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أن في هذا النوع من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يعتمد على سمعة المرخص وشهرة ع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مته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التجارية،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وبالتالي يستطيع المرخص وفق هذا النظام 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نتشار السريع دون أن يتكبد أي نفقات أو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مصروفات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وفي المقابل يمارس المرخص رقابة صارمة على المتلقي في ممارسته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للنشاط،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لضمان تماثل وجود السلع والخدمات التي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يقدمها،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ومطابقتها للشروط والمواصفات الموضوعية بمعرفة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المرخص،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بحيث تظهر المشروعات المتلقية والمكونة لشبكة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أمام الجمهور كمشروع </w:t>
      </w:r>
      <w:proofErr w:type="spellStart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واحد،</w:t>
      </w:r>
      <w:proofErr w:type="spellEnd"/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رغم أن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ها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مستقلة استقلال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كام</w:t>
      </w:r>
      <w:r w:rsidRPr="000154A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0154AD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من الناحية القانونية عن مشروع المرخص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6"/>
      </w:r>
      <w:r w:rsidRPr="000154AD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</w:p>
    <w:p w:rsidR="00B25CC4" w:rsidRPr="00B00FFB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lastRenderedPageBreak/>
        <w:t xml:space="preserve">الفرع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تمييز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عقد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عن ما يشاب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ه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ه</w:t>
      </w:r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من عقود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Pr="00D537EF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يتميز عقد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عن باقي العقود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خرى ببعض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صيات وال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تي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تكون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هي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نقطة الفيصل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المتشابه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معها.</w:t>
      </w:r>
    </w:p>
    <w:p w:rsidR="00B25CC4" w:rsidRPr="00B00FFB" w:rsidRDefault="00B25CC4" w:rsidP="006737A5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1.</w:t>
      </w:r>
      <w:r w:rsidR="006737A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تمييز عقد </w:t>
      </w:r>
      <w:proofErr w:type="spellStart"/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</w:t>
      </w:r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نشيز</w:t>
      </w:r>
      <w:proofErr w:type="spellEnd"/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عن عقد الشركة</w:t>
      </w:r>
      <w:r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A4073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تتمتع الشركة 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بالشخصية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عنوية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حين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شبكة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تتمتع بالشخصية </w:t>
      </w:r>
      <w:proofErr w:type="spellStart"/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عنوية؛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توجد رابطة تضامن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بين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الشركاء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شركة التضامن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تجاه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دائني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الشركة،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 حين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عدم وجود تضامن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بين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المانح والمانح له في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عقد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proofErr w:type="spellEnd"/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 ي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عد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المانح والمانح له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تاجرا مستق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ويعمل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كل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منهما لحسابه </w:t>
      </w:r>
      <w:proofErr w:type="spellStart"/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الخاص،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بينما تقوم الشركة على رأس مال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مشترك والعمل 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باسم الشركة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لح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سا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به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أن تقاسم أرباح الشركة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وتحمل 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خسائر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 يعود على</w:t>
      </w:r>
      <w:r w:rsidRPr="00A4073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الشركاء </w:t>
      </w:r>
      <w:r w:rsidRPr="00A4073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 حين</w:t>
      </w:r>
      <w:r w:rsidRPr="00A4073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A4073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المانح في</w:t>
      </w:r>
      <w:r w:rsidRPr="00A4073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عقد </w:t>
      </w:r>
      <w:proofErr w:type="spellStart"/>
      <w:r w:rsidRPr="00A4073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</w:t>
      </w:r>
      <w:r w:rsidRPr="00A4073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A4073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proofErr w:type="spellEnd"/>
      <w:r w:rsidRPr="00A4073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A4073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A4073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يتحمل أي عبء عن خسارة </w:t>
      </w:r>
      <w:r w:rsidRPr="00A4073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المانح له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7"/>
      </w:r>
      <w:r w:rsidRPr="00A4073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Pr="00B00FFB" w:rsidRDefault="00A5682B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2</w:t>
      </w:r>
      <w:r w:rsidR="00B25CC4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.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تمييز عقد </w:t>
      </w:r>
      <w:proofErr w:type="spellStart"/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</w:t>
      </w:r>
      <w:r w:rsidR="00B25CC4"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</w:t>
      </w:r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نشيز</w:t>
      </w:r>
      <w:proofErr w:type="spellEnd"/>
      <w:r w:rsidR="00B25CC4"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عن عقد الوكالة التجارية</w:t>
      </w:r>
      <w:r w:rsidR="00B25CC4" w:rsidRPr="00B00FF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</w:p>
    <w:p w:rsidR="00B25CC4" w:rsidRDefault="00B25CC4" w:rsidP="00091DF7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يتعاقد الوكيل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عقد الوكالة الت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ج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ارية 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باسم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موكله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لحسابه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بينما يتعاقد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</w:t>
      </w:r>
      <w:r w:rsidR="00A5682B"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ن</w:t>
      </w:r>
      <w:r w:rsidR="00A5682B"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ح له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عقد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با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سمه ولحسابه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الشخصي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فهو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تاجر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مستقل،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يودع الوكيل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المبالغ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المحصل عليها لحساب </w:t>
      </w:r>
      <w:proofErr w:type="spellStart"/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الموكل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أما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</w:t>
      </w:r>
      <w:r w:rsidR="00091DF7"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ن</w:t>
      </w:r>
      <w:r w:rsidR="00091DF7"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ح له فإنه يحت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فظ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بالمبالغ </w:t>
      </w:r>
      <w:proofErr w:type="spellStart"/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المحصلة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وما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يدفعه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للمان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ح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سوى ما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تم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تفاق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عليه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في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يتدخل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الموكل في أعمال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الوكيل ويسأل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هذا الأخير 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عن عدم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تنفيذ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ها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 حين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</w:t>
      </w:r>
      <w:r w:rsidR="00091DF7"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ن</w:t>
      </w:r>
      <w:r w:rsidR="00091DF7"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ح له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يكون تنفيذ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نشاطه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على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مسؤوليت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ويبقى حق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المانح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سوى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الرقابة و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الإ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شراف دون </w:t>
      </w:r>
      <w:proofErr w:type="spellStart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التدخل،</w:t>
      </w:r>
      <w:proofErr w:type="spellEnd"/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يتضمن عقد الوكالة ا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لتجارية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عناصر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الملكية</w:t>
      </w:r>
      <w:r w:rsidRPr="00B902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الفكرية </w:t>
      </w:r>
      <w:r w:rsidRPr="00B902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الجاذبة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للزبائن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تحت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تصرف</w:t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الوكيل على عكس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</w:t>
      </w:r>
      <w:r w:rsidR="00091DF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ن</w:t>
      </w:r>
      <w:r w:rsidR="00091DF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ح له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8"/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0F1BB2" w:rsidRPr="00D537EF" w:rsidRDefault="000F1BB2" w:rsidP="000F1BB2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</w:p>
    <w:sectPr w:rsidR="000F1BB2" w:rsidRPr="00D537EF" w:rsidSect="001127EC">
      <w:headerReference w:type="default" r:id="rId8"/>
      <w:footerReference w:type="default" r:id="rId9"/>
      <w:footnotePr>
        <w:numRestart w:val="eachPage"/>
      </w:footnotePr>
      <w:pgSz w:w="11906" w:h="16838"/>
      <w:pgMar w:top="1418" w:right="1701" w:bottom="1418" w:left="1134" w:header="709" w:footer="709" w:gutter="0"/>
      <w:pgNumType w:start="128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88" w:rsidRDefault="009E7488" w:rsidP="004A0A44">
      <w:r>
        <w:separator/>
      </w:r>
    </w:p>
  </w:endnote>
  <w:endnote w:type="continuationSeparator" w:id="0">
    <w:p w:rsidR="009E7488" w:rsidRDefault="009E7488" w:rsidP="004A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462845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B25CC4" w:rsidRPr="00065DE4" w:rsidRDefault="0026598F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B25CC4" w:rsidRPr="00065DE4">
          <w:rPr>
            <w:rFonts w:ascii="Simplified Arabic" w:hAnsi="Simplified Arabic" w:cs="Simplified Arabic"/>
            <w:sz w:val="28"/>
            <w:szCs w:val="28"/>
          </w:rPr>
          <w:instrText xml:space="preserve"> PAGE   \* MERGEFORMAT </w:instrText>
        </w: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B90261">
          <w:rPr>
            <w:rFonts w:ascii="Simplified Arabic" w:hAnsi="Simplified Arabic" w:cs="Simplified Arabic"/>
            <w:noProof/>
            <w:sz w:val="28"/>
            <w:szCs w:val="28"/>
            <w:rtl/>
          </w:rPr>
          <w:t>130</w:t>
        </w: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470BE2" w:rsidRDefault="00470B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88" w:rsidRDefault="009E7488" w:rsidP="004A0A44">
      <w:r>
        <w:separator/>
      </w:r>
    </w:p>
  </w:footnote>
  <w:footnote w:type="continuationSeparator" w:id="0">
    <w:p w:rsidR="009E7488" w:rsidRDefault="009E7488" w:rsidP="004A0A44">
      <w:r>
        <w:continuationSeparator/>
      </w:r>
    </w:p>
  </w:footnote>
  <w:footnote w:id="1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دعاء طارق بكر </w:t>
      </w:r>
      <w:proofErr w:type="spellStart"/>
      <w:r w:rsidRPr="009016F0">
        <w:rPr>
          <w:rFonts w:ascii="Traditional Arabic" w:hAnsi="Traditional Arabic" w:cs="Traditional Arabic"/>
          <w:sz w:val="28"/>
          <w:szCs w:val="28"/>
          <w:rtl/>
        </w:rPr>
        <w:t>البشتاوي،</w:t>
      </w:r>
      <w:proofErr w:type="spellEnd"/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 عقد </w:t>
      </w:r>
      <w:proofErr w:type="spellStart"/>
      <w:r w:rsidRPr="009016F0">
        <w:rPr>
          <w:rFonts w:ascii="Traditional Arabic" w:hAnsi="Traditional Arabic" w:cs="Traditional Arabic"/>
          <w:sz w:val="28"/>
          <w:szCs w:val="28"/>
          <w:rtl/>
        </w:rPr>
        <w:t>الفرنشايز</w:t>
      </w:r>
      <w:proofErr w:type="spellEnd"/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9016F0">
        <w:rPr>
          <w:rFonts w:ascii="Traditional Arabic" w:hAnsi="Traditional Arabic" w:cs="Traditional Arabic"/>
          <w:sz w:val="28"/>
          <w:szCs w:val="28"/>
          <w:rtl/>
        </w:rPr>
        <w:t>وآثاره،</w:t>
      </w:r>
      <w:proofErr w:type="spellEnd"/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رسالة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ماجستير،</w:t>
      </w:r>
      <w:proofErr w:type="spellEnd"/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تخصص</w:t>
      </w:r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 القانون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الخاص</w:t>
      </w:r>
      <w:r w:rsidRPr="009016F0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 كلية الدراسات </w:t>
      </w:r>
      <w:proofErr w:type="spellStart"/>
      <w:r w:rsidRPr="009016F0">
        <w:rPr>
          <w:rFonts w:ascii="Traditional Arabic" w:hAnsi="Traditional Arabic" w:cs="Traditional Arabic"/>
          <w:sz w:val="28"/>
          <w:szCs w:val="28"/>
          <w:rtl/>
        </w:rPr>
        <w:t>العليا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 جامعة الن</w:t>
      </w:r>
      <w:r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اح </w:t>
      </w:r>
      <w:proofErr w:type="spellStart"/>
      <w:r w:rsidRPr="009016F0">
        <w:rPr>
          <w:rFonts w:ascii="Traditional Arabic" w:hAnsi="Traditional Arabic" w:cs="Traditional Arabic"/>
          <w:sz w:val="28"/>
          <w:szCs w:val="28"/>
          <w:rtl/>
        </w:rPr>
        <w:t>الوطنية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9016F0">
        <w:rPr>
          <w:rFonts w:ascii="Traditional Arabic" w:hAnsi="Traditional Arabic" w:cs="Traditional Arabic"/>
          <w:sz w:val="28"/>
          <w:szCs w:val="28"/>
          <w:rtl/>
        </w:rPr>
        <w:t>نابلس،</w:t>
      </w:r>
      <w:proofErr w:type="spellEnd"/>
      <w:r w:rsidRPr="009016F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9016F0">
        <w:rPr>
          <w:rFonts w:ascii="Traditional Arabic" w:hAnsi="Traditional Arabic" w:cs="Traditional Arabic"/>
          <w:sz w:val="28"/>
          <w:szCs w:val="28"/>
          <w:rtl/>
        </w:rPr>
        <w:t>فلس</w:t>
      </w:r>
      <w:r>
        <w:rPr>
          <w:rFonts w:ascii="Traditional Arabic" w:hAnsi="Traditional Arabic" w:cs="Traditional Arabic" w:hint="cs"/>
          <w:sz w:val="28"/>
          <w:szCs w:val="28"/>
          <w:rtl/>
        </w:rPr>
        <w:t>طين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2008</w:t>
      </w:r>
      <w:r w:rsidRPr="009016F0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016F0">
        <w:rPr>
          <w:rFonts w:ascii="Traditional Arabic" w:hAnsi="Traditional Arabic" w:cs="Traditional Arabic"/>
          <w:sz w:val="28"/>
          <w:szCs w:val="28"/>
          <w:rtl/>
        </w:rPr>
        <w:t>ص 22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2">
    <w:p w:rsidR="00381044" w:rsidRDefault="00381044" w:rsidP="0038104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محمد</w:t>
      </w:r>
      <w:r w:rsidRPr="00DF1681">
        <w:rPr>
          <w:rFonts w:ascii="Traditional Arabic" w:hAnsi="Traditional Arabic" w:cs="Traditional Arabic"/>
          <w:sz w:val="28"/>
          <w:szCs w:val="28"/>
          <w:rtl/>
        </w:rPr>
        <w:t xml:space="preserve"> السيد البدوي </w:t>
      </w:r>
      <w:proofErr w:type="spellStart"/>
      <w:r w:rsidRPr="00DF1681">
        <w:rPr>
          <w:rFonts w:ascii="Traditional Arabic" w:hAnsi="Traditional Arabic" w:cs="Traditional Arabic"/>
          <w:sz w:val="28"/>
          <w:szCs w:val="28"/>
          <w:rtl/>
        </w:rPr>
        <w:t>الدسوقي،</w:t>
      </w:r>
      <w:proofErr w:type="spellEnd"/>
      <w:r w:rsidRPr="00DF1681">
        <w:rPr>
          <w:rFonts w:ascii="Traditional Arabic" w:hAnsi="Traditional Arabic" w:cs="Traditional Arabic"/>
          <w:sz w:val="28"/>
          <w:szCs w:val="28"/>
          <w:rtl/>
        </w:rPr>
        <w:t xml:space="preserve"> ماذا تعرف عن </w:t>
      </w:r>
      <w:proofErr w:type="spellStart"/>
      <w:r w:rsidRPr="00DF1681">
        <w:rPr>
          <w:rFonts w:ascii="Traditional Arabic" w:hAnsi="Traditional Arabic" w:cs="Traditional Arabic"/>
          <w:sz w:val="28"/>
          <w:szCs w:val="28"/>
          <w:rtl/>
        </w:rPr>
        <w:t>الفرنشايز،</w:t>
      </w:r>
      <w:proofErr w:type="spellEnd"/>
      <w:r w:rsidRPr="00DF1681">
        <w:rPr>
          <w:rFonts w:ascii="Traditional Arabic" w:hAnsi="Traditional Arabic" w:cs="Traditional Arabic"/>
          <w:sz w:val="28"/>
          <w:szCs w:val="28"/>
          <w:rtl/>
        </w:rPr>
        <w:t xml:space="preserve"> مركز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الإ</w:t>
      </w:r>
      <w:r w:rsidRPr="00DF1681">
        <w:rPr>
          <w:rFonts w:ascii="Traditional Arabic" w:hAnsi="Traditional Arabic" w:cs="Traditional Arabic"/>
          <w:sz w:val="28"/>
          <w:szCs w:val="28"/>
          <w:rtl/>
        </w:rPr>
        <w:t xml:space="preserve">سكندرية </w:t>
      </w:r>
      <w:proofErr w:type="spellStart"/>
      <w:r w:rsidRPr="00DF1681">
        <w:rPr>
          <w:rFonts w:ascii="Traditional Arabic" w:hAnsi="Traditional Arabic" w:cs="Traditional Arabic"/>
          <w:sz w:val="28"/>
          <w:szCs w:val="28"/>
          <w:rtl/>
        </w:rPr>
        <w:t>للكتا</w:t>
      </w:r>
      <w:r>
        <w:rPr>
          <w:rFonts w:ascii="Traditional Arabic" w:hAnsi="Traditional Arabic" w:cs="Traditional Arabic" w:hint="cs"/>
          <w:sz w:val="28"/>
          <w:szCs w:val="28"/>
          <w:rtl/>
        </w:rPr>
        <w:t>ب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مصر،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2009</w:t>
      </w:r>
      <w:r w:rsidRPr="00DF1681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F1681">
        <w:rPr>
          <w:rFonts w:ascii="Traditional Arabic" w:hAnsi="Traditional Arabic" w:cs="Traditional Arabic"/>
          <w:sz w:val="28"/>
          <w:szCs w:val="28"/>
          <w:rtl/>
        </w:rPr>
        <w:t>ص: 19</w:t>
      </w:r>
      <w:r w:rsidRPr="00DF1681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3">
    <w:p w:rsidR="00B25CC4" w:rsidRDefault="00B25CC4" w:rsidP="00B3104A">
      <w:pPr>
        <w:pStyle w:val="Notedebasdepage"/>
        <w:bidi w:val="0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>
        <w:t xml:space="preserve">  </w:t>
      </w:r>
      <w:r w:rsidRPr="0067618F">
        <w:rPr>
          <w:rFonts w:asciiTheme="majorBidi" w:hAnsiTheme="majorBidi" w:cstheme="majorBidi"/>
          <w:sz w:val="22"/>
          <w:szCs w:val="22"/>
        </w:rPr>
        <w:t xml:space="preserve">Hubert </w:t>
      </w:r>
      <w:proofErr w:type="spellStart"/>
      <w:r w:rsidRPr="0067618F">
        <w:rPr>
          <w:rFonts w:asciiTheme="majorBidi" w:hAnsiTheme="majorBidi" w:cstheme="majorBidi"/>
          <w:sz w:val="22"/>
          <w:szCs w:val="22"/>
        </w:rPr>
        <w:t>Bensoussan</w:t>
      </w:r>
      <w:proofErr w:type="spellEnd"/>
      <w:r w:rsidRPr="0067618F">
        <w:rPr>
          <w:rFonts w:asciiTheme="majorBidi" w:hAnsiTheme="majorBidi" w:cstheme="majorBidi"/>
          <w:sz w:val="22"/>
          <w:szCs w:val="22"/>
        </w:rPr>
        <w:t xml:space="preserve">, Le </w:t>
      </w:r>
      <w:proofErr w:type="spellStart"/>
      <w:r w:rsidRPr="0067618F">
        <w:rPr>
          <w:rFonts w:asciiTheme="majorBidi" w:hAnsiTheme="majorBidi" w:cstheme="majorBidi"/>
          <w:sz w:val="22"/>
          <w:szCs w:val="22"/>
        </w:rPr>
        <w:t>Droit</w:t>
      </w:r>
      <w:proofErr w:type="spellEnd"/>
      <w:r w:rsidRPr="0067618F">
        <w:rPr>
          <w:rFonts w:asciiTheme="majorBidi" w:hAnsiTheme="majorBidi" w:cstheme="majorBidi"/>
          <w:sz w:val="22"/>
          <w:szCs w:val="22"/>
        </w:rPr>
        <w:t xml:space="preserve"> Du </w:t>
      </w:r>
      <w:proofErr w:type="spellStart"/>
      <w:r w:rsidRPr="0067618F">
        <w:rPr>
          <w:rFonts w:asciiTheme="majorBidi" w:hAnsiTheme="majorBidi" w:cstheme="majorBidi"/>
          <w:sz w:val="22"/>
          <w:szCs w:val="22"/>
        </w:rPr>
        <w:t>Franchisage</w:t>
      </w:r>
      <w:proofErr w:type="spellEnd"/>
      <w:r w:rsidRPr="0067618F">
        <w:rPr>
          <w:rFonts w:asciiTheme="majorBidi" w:hAnsiTheme="majorBidi" w:cstheme="majorBidi"/>
          <w:sz w:val="22"/>
          <w:szCs w:val="22"/>
        </w:rPr>
        <w:t xml:space="preserve">, Edition </w:t>
      </w:r>
      <w:proofErr w:type="spellStart"/>
      <w:r w:rsidRPr="0067618F">
        <w:rPr>
          <w:rFonts w:asciiTheme="majorBidi" w:hAnsiTheme="majorBidi" w:cstheme="majorBidi"/>
          <w:sz w:val="22"/>
          <w:szCs w:val="22"/>
        </w:rPr>
        <w:t>Apogée</w:t>
      </w:r>
      <w:proofErr w:type="spellEnd"/>
      <w:r w:rsidRPr="0067618F">
        <w:rPr>
          <w:rFonts w:asciiTheme="majorBidi" w:hAnsiTheme="majorBidi" w:cstheme="majorBidi"/>
          <w:sz w:val="22"/>
          <w:szCs w:val="22"/>
        </w:rPr>
        <w:t>, Paris, 1997, P : 24.</w:t>
      </w:r>
    </w:p>
  </w:footnote>
  <w:footnote w:id="4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0D2C72">
        <w:rPr>
          <w:rFonts w:ascii="Traditional Arabic" w:hAnsi="Traditional Arabic" w:cs="Traditional Arabic"/>
          <w:sz w:val="28"/>
          <w:szCs w:val="28"/>
          <w:rtl/>
        </w:rPr>
        <w:t xml:space="preserve">نعيم </w:t>
      </w:r>
      <w:proofErr w:type="spellStart"/>
      <w:r w:rsidRPr="000D2C72">
        <w:rPr>
          <w:rFonts w:ascii="Traditional Arabic" w:hAnsi="Traditional Arabic" w:cs="Traditional Arabic"/>
          <w:sz w:val="28"/>
          <w:szCs w:val="28"/>
          <w:rtl/>
        </w:rPr>
        <w:t>مغبغب،</w:t>
      </w:r>
      <w:proofErr w:type="spellEnd"/>
      <w:r w:rsidRPr="000D2C7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الم</w:t>
      </w:r>
      <w:r w:rsidRPr="000D2C72">
        <w:rPr>
          <w:rFonts w:ascii="Traditional Arabic" w:hAnsi="Traditional Arabic" w:cs="Traditional Arabic"/>
          <w:sz w:val="28"/>
          <w:szCs w:val="28"/>
          <w:rtl/>
        </w:rPr>
        <w:t xml:space="preserve">رجع </w:t>
      </w:r>
      <w:proofErr w:type="spellStart"/>
      <w:r w:rsidRPr="000D2C72">
        <w:rPr>
          <w:rFonts w:ascii="Traditional Arabic" w:hAnsi="Traditional Arabic" w:cs="Traditional Arabic"/>
          <w:sz w:val="28"/>
          <w:szCs w:val="28"/>
          <w:rtl/>
        </w:rPr>
        <w:t>السابق،</w:t>
      </w:r>
      <w:proofErr w:type="spellEnd"/>
      <w:r w:rsidRPr="000D2C72">
        <w:rPr>
          <w:rFonts w:ascii="Traditional Arabic" w:hAnsi="Traditional Arabic" w:cs="Traditional Arabic"/>
          <w:sz w:val="28"/>
          <w:szCs w:val="28"/>
          <w:rtl/>
        </w:rPr>
        <w:t xml:space="preserve"> ص: 48</w:t>
      </w:r>
      <w:r w:rsidRPr="000D2C72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5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محمد</w:t>
      </w:r>
      <w:r w:rsidRPr="000D2C72">
        <w:rPr>
          <w:rFonts w:ascii="Traditional Arabic" w:hAnsi="Traditional Arabic" w:cs="Traditional Arabic"/>
          <w:sz w:val="28"/>
          <w:szCs w:val="28"/>
          <w:rtl/>
        </w:rPr>
        <w:t xml:space="preserve"> السيد البدوي </w:t>
      </w:r>
      <w:proofErr w:type="spellStart"/>
      <w:r w:rsidRPr="000D2C72">
        <w:rPr>
          <w:rFonts w:ascii="Traditional Arabic" w:hAnsi="Traditional Arabic" w:cs="Traditional Arabic"/>
          <w:sz w:val="28"/>
          <w:szCs w:val="28"/>
          <w:rtl/>
        </w:rPr>
        <w:t>الدسوقي،</w:t>
      </w:r>
      <w:proofErr w:type="spellEnd"/>
      <w:r w:rsidRPr="000D2C72">
        <w:rPr>
          <w:rFonts w:ascii="Traditional Arabic" w:hAnsi="Traditional Arabic" w:cs="Traditional Arabic"/>
          <w:sz w:val="28"/>
          <w:szCs w:val="28"/>
          <w:rtl/>
        </w:rPr>
        <w:t xml:space="preserve"> المرجع </w:t>
      </w:r>
      <w:proofErr w:type="spellStart"/>
      <w:r w:rsidRPr="000D2C72">
        <w:rPr>
          <w:rFonts w:ascii="Traditional Arabic" w:hAnsi="Traditional Arabic" w:cs="Traditional Arabic"/>
          <w:sz w:val="28"/>
          <w:szCs w:val="28"/>
          <w:rtl/>
        </w:rPr>
        <w:t>السابق،</w:t>
      </w:r>
      <w:proofErr w:type="spellEnd"/>
      <w:r w:rsidRPr="000D2C72">
        <w:rPr>
          <w:rFonts w:ascii="Traditional Arabic" w:hAnsi="Traditional Arabic" w:cs="Traditional Arabic"/>
          <w:sz w:val="28"/>
          <w:szCs w:val="28"/>
          <w:rtl/>
        </w:rPr>
        <w:t xml:space="preserve"> ص 20.</w:t>
      </w:r>
    </w:p>
  </w:footnote>
  <w:footnote w:id="6">
    <w:p w:rsidR="00B25CC4" w:rsidRDefault="00B25CC4" w:rsidP="00F266E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عبد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اله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ادي </w:t>
      </w:r>
      <w:r>
        <w:rPr>
          <w:rFonts w:ascii="Traditional Arabic" w:hAnsi="Traditional Arabic" w:cs="Traditional Arabic" w:hint="cs"/>
          <w:sz w:val="28"/>
          <w:szCs w:val="28"/>
          <w:rtl/>
        </w:rPr>
        <w:t>محمد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CB03B7">
        <w:rPr>
          <w:rFonts w:ascii="Traditional Arabic" w:hAnsi="Traditional Arabic" w:cs="Traditional Arabic"/>
          <w:sz w:val="28"/>
          <w:szCs w:val="28"/>
          <w:rtl/>
        </w:rPr>
        <w:t>الغامدي،</w:t>
      </w:r>
      <w:proofErr w:type="spellEnd"/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الج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وانب القانونية لعقد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الام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>تياز الت</w:t>
      </w:r>
      <w:r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اري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proofErr w:type="spellStart"/>
      <w:r w:rsidRPr="00CB03B7">
        <w:rPr>
          <w:rFonts w:ascii="Traditional Arabic" w:hAnsi="Traditional Arabic" w:cs="Traditional Arabic"/>
          <w:sz w:val="28"/>
          <w:szCs w:val="28"/>
          <w:rtl/>
        </w:rPr>
        <w:t>الفرنشايز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CB03B7">
        <w:rPr>
          <w:rFonts w:ascii="Traditional Arabic" w:hAnsi="Traditional Arabic" w:cs="Traditional Arabic" w:hint="cs"/>
          <w:sz w:val="28"/>
          <w:szCs w:val="28"/>
          <w:u w:val="single"/>
          <w:rtl/>
        </w:rPr>
        <w:t>مجلة ال</w:t>
      </w:r>
      <w:r w:rsidRPr="00CB03B7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حقوق للبحوث القانونية </w:t>
      </w:r>
      <w:proofErr w:type="spellStart"/>
      <w:r w:rsidRPr="00CB03B7">
        <w:rPr>
          <w:rFonts w:ascii="Traditional Arabic" w:hAnsi="Traditional Arabic" w:cs="Traditional Arabic"/>
          <w:sz w:val="28"/>
          <w:szCs w:val="28"/>
          <w:u w:val="single"/>
          <w:rtl/>
        </w:rPr>
        <w:t>و</w:t>
      </w:r>
      <w:r w:rsidRPr="00CB03B7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الا</w:t>
      </w:r>
      <w:r w:rsidRPr="00CB03B7">
        <w:rPr>
          <w:rFonts w:ascii="Traditional Arabic" w:hAnsi="Traditional Arabic" w:cs="Traditional Arabic"/>
          <w:sz w:val="28"/>
          <w:szCs w:val="28"/>
          <w:u w:val="single"/>
          <w:rtl/>
        </w:rPr>
        <w:t>قتصادية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66EE" w:rsidRPr="00CB03B7">
        <w:rPr>
          <w:rFonts w:ascii="Traditional Arabic" w:hAnsi="Traditional Arabic" w:cs="Traditional Arabic"/>
          <w:sz w:val="28"/>
          <w:szCs w:val="28"/>
          <w:rtl/>
        </w:rPr>
        <w:t>العدد</w:t>
      </w:r>
      <w:r w:rsidR="00F266E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F266EE">
        <w:rPr>
          <w:rFonts w:ascii="Traditional Arabic" w:hAnsi="Traditional Arabic" w:cs="Traditional Arabic"/>
          <w:sz w:val="28"/>
          <w:szCs w:val="28"/>
          <w:rtl/>
        </w:rPr>
        <w:t>02</w:t>
      </w:r>
      <w:r w:rsidR="00F266EE" w:rsidRPr="00CB03B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="00F266E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كلية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الح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>قوق،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الإ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>سكندرية،</w:t>
      </w:r>
      <w:proofErr w:type="spellEnd"/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CB03B7">
        <w:rPr>
          <w:rFonts w:ascii="Traditional Arabic" w:hAnsi="Traditional Arabic" w:cs="Traditional Arabic"/>
          <w:sz w:val="28"/>
          <w:szCs w:val="28"/>
          <w:rtl/>
        </w:rPr>
        <w:t>مصر،</w:t>
      </w:r>
      <w:proofErr w:type="spellEnd"/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2010،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>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ص</w:t>
      </w:r>
      <w:proofErr w:type="spellEnd"/>
      <w:r w:rsidRPr="00CB03B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CB03B7">
        <w:rPr>
          <w:rFonts w:ascii="Traditional Arabic" w:hAnsi="Traditional Arabic" w:cs="Traditional Arabic"/>
          <w:sz w:val="28"/>
          <w:szCs w:val="28"/>
          <w:rtl/>
        </w:rPr>
        <w:t>921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B03B7">
        <w:rPr>
          <w:rFonts w:ascii="Traditional Arabic" w:hAnsi="Traditional Arabic" w:cs="Traditional Arabic"/>
          <w:sz w:val="28"/>
          <w:szCs w:val="28"/>
          <w:rtl/>
        </w:rPr>
        <w:t>9</w:t>
      </w:r>
      <w:r>
        <w:rPr>
          <w:rFonts w:ascii="Traditional Arabic" w:hAnsi="Traditional Arabic" w:cs="Traditional Arabic" w:hint="cs"/>
          <w:sz w:val="28"/>
          <w:szCs w:val="28"/>
          <w:rtl/>
        </w:rPr>
        <w:t>92.</w:t>
      </w:r>
    </w:p>
  </w:footnote>
  <w:footnote w:id="7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0A33E1">
        <w:rPr>
          <w:rFonts w:ascii="Traditional Arabic" w:hAnsi="Traditional Arabic" w:cs="Traditional Arabic"/>
          <w:sz w:val="28"/>
          <w:szCs w:val="28"/>
          <w:rtl/>
        </w:rPr>
        <w:t xml:space="preserve">محمد عبد الغفار </w:t>
      </w:r>
      <w:proofErr w:type="spellStart"/>
      <w:r w:rsidRPr="000A33E1">
        <w:rPr>
          <w:rFonts w:ascii="Traditional Arabic" w:hAnsi="Traditional Arabic" w:cs="Traditional Arabic"/>
          <w:sz w:val="28"/>
          <w:szCs w:val="28"/>
          <w:rtl/>
        </w:rPr>
        <w:t>البسيوني،</w:t>
      </w:r>
      <w:proofErr w:type="spellEnd"/>
      <w:r w:rsidRPr="000A33E1">
        <w:rPr>
          <w:rFonts w:ascii="Traditional Arabic" w:hAnsi="Traditional Arabic" w:cs="Traditional Arabic"/>
          <w:sz w:val="28"/>
          <w:szCs w:val="28"/>
          <w:rtl/>
        </w:rPr>
        <w:t xml:space="preserve"> القانون </w:t>
      </w:r>
      <w:proofErr w:type="spellStart"/>
      <w:r w:rsidRPr="000A33E1">
        <w:rPr>
          <w:rFonts w:ascii="Traditional Arabic" w:hAnsi="Traditional Arabic" w:cs="Traditional Arabic"/>
          <w:sz w:val="28"/>
          <w:szCs w:val="28"/>
          <w:rtl/>
        </w:rPr>
        <w:t>التجاري،</w:t>
      </w:r>
      <w:proofErr w:type="spellEnd"/>
      <w:r w:rsidRPr="000A33E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0A33E1">
        <w:rPr>
          <w:rFonts w:ascii="Traditional Arabic" w:hAnsi="Traditional Arabic" w:cs="Traditional Arabic"/>
          <w:sz w:val="28"/>
          <w:szCs w:val="28"/>
          <w:rtl/>
        </w:rPr>
        <w:t>أكاديمة</w:t>
      </w:r>
      <w:proofErr w:type="spellEnd"/>
      <w:r w:rsidRPr="000A33E1">
        <w:rPr>
          <w:rFonts w:ascii="Traditional Arabic" w:hAnsi="Traditional Arabic" w:cs="Traditional Arabic"/>
          <w:sz w:val="28"/>
          <w:szCs w:val="28"/>
          <w:rtl/>
        </w:rPr>
        <w:t xml:space="preserve"> الدراسات </w:t>
      </w:r>
      <w:proofErr w:type="spellStart"/>
      <w:r w:rsidRPr="000A33E1">
        <w:rPr>
          <w:rFonts w:ascii="Traditional Arabic" w:hAnsi="Traditional Arabic" w:cs="Traditional Arabic"/>
          <w:sz w:val="28"/>
          <w:szCs w:val="28"/>
          <w:rtl/>
        </w:rPr>
        <w:t>المتخصصة،</w:t>
      </w:r>
      <w:proofErr w:type="spellEnd"/>
      <w:r w:rsidRPr="000A33E1">
        <w:rPr>
          <w:rFonts w:ascii="Traditional Arabic" w:hAnsi="Traditional Arabic" w:cs="Traditional Arabic"/>
          <w:sz w:val="28"/>
          <w:szCs w:val="28"/>
          <w:rtl/>
        </w:rPr>
        <w:t xml:space="preserve"> الجامعة </w:t>
      </w:r>
      <w:proofErr w:type="spellStart"/>
      <w:r w:rsidRPr="000A33E1">
        <w:rPr>
          <w:rFonts w:ascii="Traditional Arabic" w:hAnsi="Traditional Arabic" w:cs="Traditional Arabic"/>
          <w:sz w:val="28"/>
          <w:szCs w:val="28"/>
          <w:rtl/>
        </w:rPr>
        <w:t>العمانية،</w:t>
      </w:r>
      <w:proofErr w:type="spellEnd"/>
      <w:r w:rsidRPr="000A33E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0A33E1">
        <w:rPr>
          <w:rFonts w:ascii="Traditional Arabic" w:hAnsi="Traditional Arabic" w:cs="Traditional Arabic"/>
          <w:sz w:val="28"/>
          <w:szCs w:val="28"/>
          <w:rtl/>
        </w:rPr>
        <w:t>2009،</w:t>
      </w:r>
      <w:proofErr w:type="spellEnd"/>
      <w:r w:rsidRPr="000A33E1">
        <w:rPr>
          <w:rFonts w:ascii="Traditional Arabic" w:hAnsi="Traditional Arabic" w:cs="Traditional Arabic"/>
          <w:sz w:val="28"/>
          <w:szCs w:val="28"/>
          <w:rtl/>
        </w:rPr>
        <w:t xml:space="preserve"> ص: 258</w:t>
      </w:r>
      <w:r w:rsidRPr="000A33E1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8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D60EA0">
        <w:rPr>
          <w:rFonts w:ascii="Traditional Arabic" w:hAnsi="Traditional Arabic" w:cs="Traditional Arabic"/>
          <w:sz w:val="28"/>
          <w:szCs w:val="28"/>
          <w:rtl/>
        </w:rPr>
        <w:t xml:space="preserve">نعيم </w:t>
      </w:r>
      <w:proofErr w:type="spellStart"/>
      <w:r w:rsidRPr="00D60EA0">
        <w:rPr>
          <w:rFonts w:ascii="Traditional Arabic" w:hAnsi="Traditional Arabic" w:cs="Traditional Arabic"/>
          <w:sz w:val="28"/>
          <w:szCs w:val="28"/>
          <w:rtl/>
        </w:rPr>
        <w:t>مغبغب،</w:t>
      </w:r>
      <w:proofErr w:type="spellEnd"/>
      <w:r w:rsidRPr="00D60EA0">
        <w:rPr>
          <w:rFonts w:ascii="Traditional Arabic" w:hAnsi="Traditional Arabic" w:cs="Traditional Arabic"/>
          <w:sz w:val="28"/>
          <w:szCs w:val="28"/>
          <w:rtl/>
        </w:rPr>
        <w:t xml:space="preserve"> ا</w:t>
      </w:r>
      <w:r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D60EA0">
        <w:rPr>
          <w:rFonts w:ascii="Traditional Arabic" w:hAnsi="Traditional Arabic" w:cs="Traditional Arabic"/>
          <w:sz w:val="28"/>
          <w:szCs w:val="28"/>
          <w:rtl/>
        </w:rPr>
        <w:t xml:space="preserve">رجع </w:t>
      </w:r>
      <w:proofErr w:type="spellStart"/>
      <w:r w:rsidRPr="00D60EA0">
        <w:rPr>
          <w:rFonts w:ascii="Traditional Arabic" w:hAnsi="Traditional Arabic" w:cs="Traditional Arabic"/>
          <w:sz w:val="28"/>
          <w:szCs w:val="28"/>
          <w:rtl/>
        </w:rPr>
        <w:t>السابق،</w:t>
      </w:r>
      <w:proofErr w:type="spellEnd"/>
      <w:r w:rsidRPr="00D60EA0">
        <w:rPr>
          <w:rFonts w:ascii="Traditional Arabic" w:hAnsi="Traditional Arabic" w:cs="Traditional Arabic"/>
          <w:sz w:val="28"/>
          <w:szCs w:val="28"/>
          <w:rtl/>
        </w:rPr>
        <w:t xml:space="preserve"> 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D60EA0">
        <w:rPr>
          <w:rFonts w:ascii="Traditional Arabic" w:hAnsi="Traditional Arabic" w:cs="Traditional Arabic"/>
          <w:sz w:val="28"/>
          <w:szCs w:val="28"/>
          <w:rtl/>
        </w:rPr>
        <w:t>110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60EA0">
        <w:rPr>
          <w:rFonts w:ascii="Traditional Arabic" w:hAnsi="Traditional Arabic" w:cs="Traditional Arabic"/>
          <w:sz w:val="28"/>
          <w:szCs w:val="28"/>
          <w:rtl/>
        </w:rPr>
        <w:t>111</w:t>
      </w:r>
      <w:r w:rsidRPr="00D60EA0">
        <w:rPr>
          <w:rFonts w:ascii="Traditional Arabic" w:hAnsi="Traditional Arabic" w:cs="Traditional Arabic"/>
          <w:sz w:val="28"/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alias w:val="Titre"/>
      <w:id w:val="77738743"/>
      <w:placeholder>
        <w:docPart w:val="9B3FC0BCC3F04144AAA1F53D3DB2E9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00741" w:rsidRDefault="00F00741" w:rsidP="00AF496D">
        <w:pPr>
          <w:pStyle w:val="En-tte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الباب </w:t>
        </w:r>
        <w:proofErr w:type="spellStart"/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الرابع</w:t>
        </w:r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>:</w:t>
        </w:r>
        <w:proofErr w:type="spellEnd"/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 </w:t>
        </w:r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 xml:space="preserve">عقد </w:t>
        </w:r>
        <w:proofErr w:type="spellStart"/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الفرانشيز</w:t>
        </w:r>
        <w:proofErr w:type="spellEnd"/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 xml:space="preserve"> (الا</w:t>
        </w:r>
        <w:r w:rsidR="00AF496D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متياز</w:t>
        </w:r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 xml:space="preserve"> التجاري</w:t>
        </w:r>
        <w:proofErr w:type="spellStart"/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)</w:t>
        </w:r>
        <w:proofErr w:type="spellEnd"/>
      </w:p>
    </w:sdtContent>
  </w:sdt>
  <w:p w:rsidR="00470BE2" w:rsidRPr="00C12F74" w:rsidRDefault="00470BE2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68"/>
    <w:multiLevelType w:val="hybridMultilevel"/>
    <w:tmpl w:val="D376E3FE"/>
    <w:lvl w:ilvl="0" w:tplc="7E1C5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9177384"/>
    <w:multiLevelType w:val="hybridMultilevel"/>
    <w:tmpl w:val="86562C2E"/>
    <w:lvl w:ilvl="0" w:tplc="9028D3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787011"/>
    <w:multiLevelType w:val="hybridMultilevel"/>
    <w:tmpl w:val="185E25C6"/>
    <w:lvl w:ilvl="0" w:tplc="5096E5E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12329"/>
    <w:multiLevelType w:val="multilevel"/>
    <w:tmpl w:val="2A7A1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color w:val="1F4D78" w:themeColor="accent1" w:themeShade="7F"/>
      </w:rPr>
    </w:lvl>
    <w:lvl w:ilvl="2">
      <w:start w:val="2"/>
      <w:numFmt w:val="arabicAlpha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C22CB"/>
    <w:multiLevelType w:val="multilevel"/>
    <w:tmpl w:val="E76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9567B"/>
    <w:multiLevelType w:val="multilevel"/>
    <w:tmpl w:val="DA7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61ADE"/>
    <w:multiLevelType w:val="hybridMultilevel"/>
    <w:tmpl w:val="28AE05B0"/>
    <w:lvl w:ilvl="0" w:tplc="502E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E1CCE"/>
    <w:multiLevelType w:val="hybridMultilevel"/>
    <w:tmpl w:val="78DE7002"/>
    <w:lvl w:ilvl="0" w:tplc="21004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A2C32"/>
    <w:multiLevelType w:val="hybridMultilevel"/>
    <w:tmpl w:val="2CF2A63A"/>
    <w:lvl w:ilvl="0" w:tplc="9DBE196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F627E"/>
    <w:multiLevelType w:val="hybridMultilevel"/>
    <w:tmpl w:val="D35024B0"/>
    <w:lvl w:ilvl="0" w:tplc="198C8A86"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D191F"/>
    <w:multiLevelType w:val="hybridMultilevel"/>
    <w:tmpl w:val="A82AF4FE"/>
    <w:lvl w:ilvl="0" w:tplc="B6AC83B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72769"/>
    <w:multiLevelType w:val="multilevel"/>
    <w:tmpl w:val="5B7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173EA"/>
    <w:multiLevelType w:val="hybridMultilevel"/>
    <w:tmpl w:val="51686A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82B21"/>
    <w:multiLevelType w:val="hybridMultilevel"/>
    <w:tmpl w:val="0FD480DE"/>
    <w:lvl w:ilvl="0" w:tplc="B394B4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A3C7345"/>
    <w:multiLevelType w:val="hybridMultilevel"/>
    <w:tmpl w:val="EB64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67B93"/>
    <w:multiLevelType w:val="hybridMultilevel"/>
    <w:tmpl w:val="F45C00DC"/>
    <w:lvl w:ilvl="0" w:tplc="59C656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76F1F"/>
    <w:multiLevelType w:val="hybridMultilevel"/>
    <w:tmpl w:val="BC8CE99E"/>
    <w:lvl w:ilvl="0" w:tplc="94AC08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1775C3"/>
    <w:multiLevelType w:val="hybridMultilevel"/>
    <w:tmpl w:val="BB58B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336C"/>
    <w:multiLevelType w:val="hybridMultilevel"/>
    <w:tmpl w:val="68F62E92"/>
    <w:lvl w:ilvl="0" w:tplc="370E8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3D17"/>
    <w:multiLevelType w:val="hybridMultilevel"/>
    <w:tmpl w:val="9D32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0550"/>
    <w:multiLevelType w:val="multilevel"/>
    <w:tmpl w:val="F794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935BC"/>
    <w:multiLevelType w:val="multilevel"/>
    <w:tmpl w:val="49D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E7CC2"/>
    <w:multiLevelType w:val="hybridMultilevel"/>
    <w:tmpl w:val="A9A6C6E2"/>
    <w:lvl w:ilvl="0" w:tplc="3E967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F0F58"/>
    <w:multiLevelType w:val="hybridMultilevel"/>
    <w:tmpl w:val="8D600886"/>
    <w:lvl w:ilvl="0" w:tplc="8FB81470">
      <w:start w:val="1"/>
      <w:numFmt w:val="arabicAlpha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E047D"/>
    <w:multiLevelType w:val="hybridMultilevel"/>
    <w:tmpl w:val="D2E66B04"/>
    <w:lvl w:ilvl="0" w:tplc="0B72860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0059"/>
    <w:multiLevelType w:val="hybridMultilevel"/>
    <w:tmpl w:val="3C32B884"/>
    <w:lvl w:ilvl="0" w:tplc="C90C78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3458E7"/>
    <w:multiLevelType w:val="hybridMultilevel"/>
    <w:tmpl w:val="101E99EE"/>
    <w:lvl w:ilvl="0" w:tplc="CB1A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76C4A"/>
    <w:multiLevelType w:val="multilevel"/>
    <w:tmpl w:val="1E8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AE02E1"/>
    <w:multiLevelType w:val="multilevel"/>
    <w:tmpl w:val="4EF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5555F"/>
    <w:multiLevelType w:val="hybridMultilevel"/>
    <w:tmpl w:val="44E2EA04"/>
    <w:lvl w:ilvl="0" w:tplc="E0FA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E3BD0"/>
    <w:multiLevelType w:val="hybridMultilevel"/>
    <w:tmpl w:val="26862D84"/>
    <w:lvl w:ilvl="0" w:tplc="DB2CA9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2"/>
  </w:num>
  <w:num w:numId="4">
    <w:abstractNumId w:val="16"/>
  </w:num>
  <w:num w:numId="5">
    <w:abstractNumId w:val="18"/>
  </w:num>
  <w:num w:numId="6">
    <w:abstractNumId w:val="28"/>
  </w:num>
  <w:num w:numId="7">
    <w:abstractNumId w:val="12"/>
  </w:num>
  <w:num w:numId="8">
    <w:abstractNumId w:val="22"/>
  </w:num>
  <w:num w:numId="9">
    <w:abstractNumId w:val="4"/>
  </w:num>
  <w:num w:numId="10">
    <w:abstractNumId w:val="19"/>
  </w:num>
  <w:num w:numId="11">
    <w:abstractNumId w:val="25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11"/>
  </w:num>
  <w:num w:numId="18">
    <w:abstractNumId w:val="21"/>
  </w:num>
  <w:num w:numId="19">
    <w:abstractNumId w:val="9"/>
  </w:num>
  <w:num w:numId="20">
    <w:abstractNumId w:val="13"/>
  </w:num>
  <w:num w:numId="21">
    <w:abstractNumId w:val="26"/>
  </w:num>
  <w:num w:numId="22">
    <w:abstractNumId w:val="8"/>
  </w:num>
  <w:num w:numId="23">
    <w:abstractNumId w:val="31"/>
  </w:num>
  <w:num w:numId="24">
    <w:abstractNumId w:val="14"/>
  </w:num>
  <w:num w:numId="25">
    <w:abstractNumId w:val="6"/>
  </w:num>
  <w:num w:numId="26">
    <w:abstractNumId w:val="23"/>
  </w:num>
  <w:num w:numId="27">
    <w:abstractNumId w:val="30"/>
  </w:num>
  <w:num w:numId="28">
    <w:abstractNumId w:val="3"/>
  </w:num>
  <w:num w:numId="29">
    <w:abstractNumId w:val="1"/>
  </w:num>
  <w:num w:numId="30">
    <w:abstractNumId w:val="2"/>
  </w:num>
  <w:num w:numId="31">
    <w:abstractNumId w:val="15"/>
  </w:num>
  <w:num w:numId="32">
    <w:abstractNumId w:val="20"/>
  </w:num>
  <w:num w:numId="33">
    <w:abstractNumId w:val="24"/>
  </w:num>
  <w:num w:numId="3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A0A44"/>
    <w:rsid w:val="00003111"/>
    <w:rsid w:val="0000393F"/>
    <w:rsid w:val="000061E4"/>
    <w:rsid w:val="000169A1"/>
    <w:rsid w:val="00030262"/>
    <w:rsid w:val="00036189"/>
    <w:rsid w:val="0004030F"/>
    <w:rsid w:val="000416E8"/>
    <w:rsid w:val="000452FB"/>
    <w:rsid w:val="00065DE4"/>
    <w:rsid w:val="00074073"/>
    <w:rsid w:val="00077343"/>
    <w:rsid w:val="00091DF7"/>
    <w:rsid w:val="00094218"/>
    <w:rsid w:val="000A1620"/>
    <w:rsid w:val="000C653B"/>
    <w:rsid w:val="000D238D"/>
    <w:rsid w:val="000E5070"/>
    <w:rsid w:val="000E7C3A"/>
    <w:rsid w:val="000F1BB2"/>
    <w:rsid w:val="001012E7"/>
    <w:rsid w:val="00104508"/>
    <w:rsid w:val="001127EC"/>
    <w:rsid w:val="00135A03"/>
    <w:rsid w:val="001527AA"/>
    <w:rsid w:val="0017412C"/>
    <w:rsid w:val="001765C5"/>
    <w:rsid w:val="00195DDF"/>
    <w:rsid w:val="001A4B62"/>
    <w:rsid w:val="001A553F"/>
    <w:rsid w:val="001B5BA4"/>
    <w:rsid w:val="001C4D3F"/>
    <w:rsid w:val="001C5652"/>
    <w:rsid w:val="00207F67"/>
    <w:rsid w:val="002138BB"/>
    <w:rsid w:val="002221F4"/>
    <w:rsid w:val="00226BEF"/>
    <w:rsid w:val="00237809"/>
    <w:rsid w:val="0025469C"/>
    <w:rsid w:val="0026598F"/>
    <w:rsid w:val="00285B91"/>
    <w:rsid w:val="00292001"/>
    <w:rsid w:val="002A0536"/>
    <w:rsid w:val="002A5E21"/>
    <w:rsid w:val="002B6508"/>
    <w:rsid w:val="00325720"/>
    <w:rsid w:val="003269A7"/>
    <w:rsid w:val="00334A9E"/>
    <w:rsid w:val="00337AFC"/>
    <w:rsid w:val="00366E14"/>
    <w:rsid w:val="003748A9"/>
    <w:rsid w:val="003757C3"/>
    <w:rsid w:val="00377D93"/>
    <w:rsid w:val="00381044"/>
    <w:rsid w:val="003A2D70"/>
    <w:rsid w:val="00401486"/>
    <w:rsid w:val="004135FA"/>
    <w:rsid w:val="00420335"/>
    <w:rsid w:val="00446689"/>
    <w:rsid w:val="00460C9C"/>
    <w:rsid w:val="00466264"/>
    <w:rsid w:val="00470BE2"/>
    <w:rsid w:val="00475C92"/>
    <w:rsid w:val="00481352"/>
    <w:rsid w:val="00481CF9"/>
    <w:rsid w:val="004874B2"/>
    <w:rsid w:val="004A0A44"/>
    <w:rsid w:val="004C625F"/>
    <w:rsid w:val="004D4EE7"/>
    <w:rsid w:val="004E4020"/>
    <w:rsid w:val="004E425D"/>
    <w:rsid w:val="00512D3E"/>
    <w:rsid w:val="005140E6"/>
    <w:rsid w:val="00532930"/>
    <w:rsid w:val="00534B4B"/>
    <w:rsid w:val="00561CA1"/>
    <w:rsid w:val="00565622"/>
    <w:rsid w:val="005768FF"/>
    <w:rsid w:val="005835C9"/>
    <w:rsid w:val="00597DDC"/>
    <w:rsid w:val="005A2069"/>
    <w:rsid w:val="005B0EC8"/>
    <w:rsid w:val="005E6025"/>
    <w:rsid w:val="006037AA"/>
    <w:rsid w:val="00643734"/>
    <w:rsid w:val="00652E8B"/>
    <w:rsid w:val="006737A5"/>
    <w:rsid w:val="00673B6C"/>
    <w:rsid w:val="006D3DAE"/>
    <w:rsid w:val="0074360F"/>
    <w:rsid w:val="00751ADF"/>
    <w:rsid w:val="00773347"/>
    <w:rsid w:val="007757FB"/>
    <w:rsid w:val="007C18B1"/>
    <w:rsid w:val="007D23F7"/>
    <w:rsid w:val="007F1E68"/>
    <w:rsid w:val="0080102E"/>
    <w:rsid w:val="0082237A"/>
    <w:rsid w:val="00827C4E"/>
    <w:rsid w:val="0083288D"/>
    <w:rsid w:val="00840DB3"/>
    <w:rsid w:val="00845374"/>
    <w:rsid w:val="00867D3E"/>
    <w:rsid w:val="00871A9F"/>
    <w:rsid w:val="00873073"/>
    <w:rsid w:val="0089417B"/>
    <w:rsid w:val="008A7B13"/>
    <w:rsid w:val="008E6D92"/>
    <w:rsid w:val="009017DD"/>
    <w:rsid w:val="00905C25"/>
    <w:rsid w:val="00907D0D"/>
    <w:rsid w:val="009119BB"/>
    <w:rsid w:val="00935ED4"/>
    <w:rsid w:val="00945D50"/>
    <w:rsid w:val="00954DED"/>
    <w:rsid w:val="00977C17"/>
    <w:rsid w:val="00997731"/>
    <w:rsid w:val="009B3856"/>
    <w:rsid w:val="009D506B"/>
    <w:rsid w:val="009E6E7B"/>
    <w:rsid w:val="009E7488"/>
    <w:rsid w:val="009F0EFE"/>
    <w:rsid w:val="00A00181"/>
    <w:rsid w:val="00A25474"/>
    <w:rsid w:val="00A32746"/>
    <w:rsid w:val="00A5682B"/>
    <w:rsid w:val="00A609CE"/>
    <w:rsid w:val="00A71327"/>
    <w:rsid w:val="00A8796F"/>
    <w:rsid w:val="00AA2FFC"/>
    <w:rsid w:val="00AA3365"/>
    <w:rsid w:val="00AB765D"/>
    <w:rsid w:val="00AC4EA0"/>
    <w:rsid w:val="00AE664E"/>
    <w:rsid w:val="00AF496D"/>
    <w:rsid w:val="00B1230C"/>
    <w:rsid w:val="00B213F9"/>
    <w:rsid w:val="00B24DE8"/>
    <w:rsid w:val="00B25CC4"/>
    <w:rsid w:val="00B3104A"/>
    <w:rsid w:val="00B4060C"/>
    <w:rsid w:val="00B506F3"/>
    <w:rsid w:val="00B86A9F"/>
    <w:rsid w:val="00B90261"/>
    <w:rsid w:val="00B927D5"/>
    <w:rsid w:val="00BC7F5A"/>
    <w:rsid w:val="00BD2D6B"/>
    <w:rsid w:val="00BD48F7"/>
    <w:rsid w:val="00BD50E1"/>
    <w:rsid w:val="00BE1D40"/>
    <w:rsid w:val="00C03D50"/>
    <w:rsid w:val="00C105FB"/>
    <w:rsid w:val="00C12F74"/>
    <w:rsid w:val="00C26F3A"/>
    <w:rsid w:val="00C5283F"/>
    <w:rsid w:val="00C52AA9"/>
    <w:rsid w:val="00C65CC9"/>
    <w:rsid w:val="00C70BF0"/>
    <w:rsid w:val="00C8190B"/>
    <w:rsid w:val="00C92514"/>
    <w:rsid w:val="00CA0B3A"/>
    <w:rsid w:val="00CB1DA9"/>
    <w:rsid w:val="00CC4FBE"/>
    <w:rsid w:val="00CC6C19"/>
    <w:rsid w:val="00CC6FDB"/>
    <w:rsid w:val="00CF1509"/>
    <w:rsid w:val="00CF187D"/>
    <w:rsid w:val="00CF2498"/>
    <w:rsid w:val="00CF4B2D"/>
    <w:rsid w:val="00D3504A"/>
    <w:rsid w:val="00D3566E"/>
    <w:rsid w:val="00D469E2"/>
    <w:rsid w:val="00D6733A"/>
    <w:rsid w:val="00D73B7B"/>
    <w:rsid w:val="00D94E84"/>
    <w:rsid w:val="00D972B5"/>
    <w:rsid w:val="00DA13DA"/>
    <w:rsid w:val="00DA27AB"/>
    <w:rsid w:val="00DB15B1"/>
    <w:rsid w:val="00DB22E9"/>
    <w:rsid w:val="00DB470E"/>
    <w:rsid w:val="00DB6019"/>
    <w:rsid w:val="00DD00D2"/>
    <w:rsid w:val="00DD1570"/>
    <w:rsid w:val="00DE7FE3"/>
    <w:rsid w:val="00E00A2D"/>
    <w:rsid w:val="00E04692"/>
    <w:rsid w:val="00E17665"/>
    <w:rsid w:val="00E17994"/>
    <w:rsid w:val="00E46472"/>
    <w:rsid w:val="00E520C8"/>
    <w:rsid w:val="00E57E65"/>
    <w:rsid w:val="00E678DA"/>
    <w:rsid w:val="00E8154F"/>
    <w:rsid w:val="00E84C78"/>
    <w:rsid w:val="00EA1DF4"/>
    <w:rsid w:val="00EB41EB"/>
    <w:rsid w:val="00EC5160"/>
    <w:rsid w:val="00ED2B9D"/>
    <w:rsid w:val="00EF3216"/>
    <w:rsid w:val="00EF5656"/>
    <w:rsid w:val="00F00741"/>
    <w:rsid w:val="00F14D99"/>
    <w:rsid w:val="00F17BBE"/>
    <w:rsid w:val="00F266EE"/>
    <w:rsid w:val="00F415D6"/>
    <w:rsid w:val="00F47555"/>
    <w:rsid w:val="00F600CF"/>
    <w:rsid w:val="00F614FA"/>
    <w:rsid w:val="00F6589B"/>
    <w:rsid w:val="00F66EB1"/>
    <w:rsid w:val="00F87755"/>
    <w:rsid w:val="00F91050"/>
    <w:rsid w:val="00FA6DC4"/>
    <w:rsid w:val="00FB5903"/>
    <w:rsid w:val="00FC2E2C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44"/>
    <w:pPr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A0A44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fr-FR"/>
    </w:rPr>
  </w:style>
  <w:style w:type="paragraph" w:styleId="Titre2">
    <w:name w:val="heading 2"/>
    <w:basedOn w:val="Normal"/>
    <w:link w:val="Titre2Car"/>
    <w:qFormat/>
    <w:rsid w:val="004A0A44"/>
    <w:pPr>
      <w:bidi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A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4A0A4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A0A44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A0A44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A0A44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4A0A44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0A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4A0A4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A0A44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A0A4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A0A44"/>
    <w:rPr>
      <w:b/>
      <w:bCs/>
    </w:rPr>
  </w:style>
  <w:style w:type="paragraph" w:styleId="NormalWeb">
    <w:name w:val="Normal (Web)"/>
    <w:basedOn w:val="Normal"/>
    <w:uiPriority w:val="99"/>
    <w:unhideWhenUsed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">
    <w:name w:val="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orm">
    <w:name w:val="norm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latin">
    <w:name w:val="lati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A44"/>
    <w:pPr>
      <w:bidi w:val="0"/>
    </w:pPr>
    <w:rPr>
      <w:rFonts w:ascii="Tahoma" w:eastAsiaTheme="minorEastAsia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A4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nglish-link">
    <w:name w:val="english-link"/>
    <w:basedOn w:val="Policepardfaut"/>
    <w:rsid w:val="004A0A44"/>
  </w:style>
  <w:style w:type="paragraph" w:styleId="Corpsdetexte">
    <w:name w:val="Body Text"/>
    <w:basedOn w:val="Normal"/>
    <w:link w:val="CorpsdetexteCar"/>
    <w:uiPriority w:val="99"/>
    <w:rsid w:val="004A0A44"/>
    <w:rPr>
      <w:rFonts w:ascii="Times New Roman" w:hAnsi="Times New Roman" w:cs="Arabic Transparent"/>
      <w:b/>
      <w:bCs/>
      <w:color w:val="333333"/>
      <w:sz w:val="20"/>
      <w:szCs w:val="36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4A0A44"/>
    <w:rPr>
      <w:rFonts w:ascii="Times New Roman" w:eastAsia="Times New Roman" w:hAnsi="Times New Roman" w:cs="Arabic Transparent"/>
      <w:b/>
      <w:bCs/>
      <w:color w:val="333333"/>
      <w:sz w:val="20"/>
      <w:szCs w:val="36"/>
      <w:lang w:val="en-US" w:eastAsia="ar-SA"/>
    </w:rPr>
  </w:style>
  <w:style w:type="paragraph" w:styleId="Normalcentr">
    <w:name w:val="Block Text"/>
    <w:basedOn w:val="Normal"/>
    <w:rsid w:val="004A0A44"/>
    <w:pPr>
      <w:ind w:left="-1" w:right="510"/>
      <w:jc w:val="lowKashida"/>
    </w:pPr>
    <w:rPr>
      <w:rFonts w:ascii="Times New Roman" w:hAnsi="Times New Roman" w:cs="Simplified Arabic Backslanted"/>
      <w:sz w:val="20"/>
      <w:szCs w:val="28"/>
      <w:lang w:val="de-DE" w:eastAsia="fr-FR"/>
    </w:rPr>
  </w:style>
  <w:style w:type="paragraph" w:styleId="En-tte">
    <w:name w:val="header"/>
    <w:basedOn w:val="Normal"/>
    <w:link w:val="En-tt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customStyle="1" w:styleId="5wj-">
    <w:name w:val="_5wj-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mw-headline">
    <w:name w:val="mw-headline"/>
    <w:basedOn w:val="Policepardfaut"/>
    <w:rsid w:val="004A0A44"/>
  </w:style>
  <w:style w:type="character" w:customStyle="1" w:styleId="s1">
    <w:name w:val="s1"/>
    <w:basedOn w:val="Policepardfaut"/>
    <w:rsid w:val="004A0A44"/>
  </w:style>
  <w:style w:type="character" w:customStyle="1" w:styleId="story">
    <w:name w:val="story"/>
    <w:basedOn w:val="Policepardfaut"/>
    <w:rsid w:val="004A0A44"/>
  </w:style>
  <w:style w:type="paragraph" w:customStyle="1" w:styleId="noparagraphstyle">
    <w:name w:val="noparagraphstyle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Contenudecadre">
    <w:name w:val="Contenu de cadre"/>
    <w:basedOn w:val="Normal"/>
    <w:qFormat/>
    <w:rsid w:val="004A0A44"/>
    <w:pPr>
      <w:bidi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A0A44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rsid w:val="00F600CF"/>
    <w:pPr>
      <w:bidi w:val="0"/>
      <w:jc w:val="right"/>
    </w:pPr>
    <w:rPr>
      <w:rFonts w:ascii="Times New Roman" w:eastAsia="SimSun" w:hAnsi="Times New Roman"/>
      <w:sz w:val="20"/>
      <w:szCs w:val="20"/>
      <w:lang w:val="fr-FR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F600C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denotedefin">
    <w:name w:val="endnote reference"/>
    <w:uiPriority w:val="99"/>
    <w:unhideWhenUsed/>
    <w:rsid w:val="00F600CF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600CF"/>
    <w:rPr>
      <w:rFonts w:ascii="Adrianne" w:eastAsia="Times New Roman" w:hAnsi="Adrianne" w:cs="Times New Roman"/>
      <w:sz w:val="44"/>
      <w:szCs w:val="44"/>
      <w:lang w:val="en-US"/>
    </w:rPr>
  </w:style>
  <w:style w:type="character" w:customStyle="1" w:styleId="a-size-extra-large">
    <w:name w:val="a-size-extra-large"/>
    <w:basedOn w:val="Policepardfaut"/>
    <w:rsid w:val="00F60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3FC0BCC3F04144AAA1F53D3DB2E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04928-DC65-4F28-BCBF-A70315660DCB}"/>
      </w:docPartPr>
      <w:docPartBody>
        <w:p w:rsidR="006B5459" w:rsidRDefault="009E4A9B" w:rsidP="009E4A9B">
          <w:pPr>
            <w:pStyle w:val="9B3FC0BCC3F04144AAA1F53D3DB2E9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4A9B"/>
    <w:rsid w:val="00003B51"/>
    <w:rsid w:val="000948F3"/>
    <w:rsid w:val="003C4C3E"/>
    <w:rsid w:val="006B5459"/>
    <w:rsid w:val="006C134D"/>
    <w:rsid w:val="007E08F4"/>
    <w:rsid w:val="009E4A9B"/>
    <w:rsid w:val="00AC15E0"/>
    <w:rsid w:val="00BB3467"/>
    <w:rsid w:val="00CD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B3FC0BCC3F04144AAA1F53D3DB2E9CC">
    <w:name w:val="9B3FC0BCC3F04144AAA1F53D3DB2E9CC"/>
    <w:rsid w:val="009E4A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E622-60D4-46F5-9D70-CF0DF87A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الرابع: عقد الفرانشيز (الامتياز التجاري)</vt:lpstr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الرابع: عقد الفرانشيز (الامتياز التجاري)</dc:title>
  <dc:creator>ASUS vPro</dc:creator>
  <cp:lastModifiedBy>Acer</cp:lastModifiedBy>
  <cp:revision>25</cp:revision>
  <cp:lastPrinted>2021-04-28T16:45:00Z</cp:lastPrinted>
  <dcterms:created xsi:type="dcterms:W3CDTF">2023-11-15T17:41:00Z</dcterms:created>
  <dcterms:modified xsi:type="dcterms:W3CDTF">2023-11-23T05:53:00Z</dcterms:modified>
</cp:coreProperties>
</file>