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C6" w:rsidRPr="00D60864" w:rsidRDefault="006C46C6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الفصل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الأول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الإطار العام ل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عقد البناء والتشغيل ونقل الملكية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AF040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عقد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A0577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البوت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AF040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proofErr w:type="spellEnd"/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6C46C6" w:rsidRPr="00D60864" w:rsidRDefault="006C46C6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المبحث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الأول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proofErr w:type="spellEnd"/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اهية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عقد البناء والتشغيل ونقل الملكية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AF040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عقد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A0577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البوت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AF040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proofErr w:type="spellEnd"/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6C46C6" w:rsidRPr="00D60864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إن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دراسة ماهية عقد البناء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والتشغيل ونقل الملكية يستلزم ك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ولوية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تحد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يد مفهوم هذ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العقد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باعتباره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وسيلة عرف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اللجوء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ليها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في الآونة الأخيرة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انتشارا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كبيرا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على المستوى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الدولي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ذلك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ن هذا الأسلوب 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لت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عاقدي يقدم حلولا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تنموية فعالة خاصة للدول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النامية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ولكي تتضح لنا الرؤية أيضا أكثر حول ماهية هذا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العقد،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سنحاول استعراض مفهوم هذا العقد في </w:t>
      </w:r>
      <w:r w:rsidRPr="00A51E8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المطلب </w:t>
      </w:r>
      <w:proofErr w:type="spellStart"/>
      <w:r w:rsidRPr="00A51E8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الأول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ثم نبين أطراف هذا العقد وتكييفه القانوني في </w:t>
      </w:r>
      <w:r w:rsidRPr="00A51E8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المطلب الثاني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6C46C6" w:rsidRPr="00D60864" w:rsidRDefault="006C46C6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المطلب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الأول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مفهوم 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عقد البناء والتشغيل ونقل الملكية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AF040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عقد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A0577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البوت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AF040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proofErr w:type="spellEnd"/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 الموازنة بين الموقف المالي لخزينة الدولة والمشروعات الواجب تنفيذها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داخل الدولة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مر يحتاج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ى دراسة وإعطاء أولوية 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مشروع على أخر 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r w:rsidRPr="00D6086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تأجيل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المشروع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حتى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شعار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آ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خر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لغاء بعض المشروعات المدرجة على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جندة الخطة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الإستراتيجية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لعمل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الحكومات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هذا ما أدى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لى فرض القطاع الخاص ووجوده في بعض المشاريع التي كانت في الماضي حكرا للدولة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6C46C6" w:rsidRPr="00D60864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لقد 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صبح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القطاع الخاص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يقوم بتمويل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نشا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ء بعض المشاريع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التي كانت تحتكرها الدولة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يقوم ب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تشغيلها لمدة محددة من الزمن ثم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يعيدها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دولة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باعتبارها صاحبة المشروع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وهو ما يعرف بع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قد البناء والتشغيل ونقل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الملكية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مر الذي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يستدعي منا ضبط تعريف هذا العقد بشكل دقيق (</w:t>
      </w:r>
      <w:r w:rsidRPr="00E155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 الأول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ثم نستخرج الخصائص التي يتصف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هذا العقد والتي تميزه عن باقي العقود الأخرى (</w:t>
      </w:r>
      <w:r w:rsidRPr="00E155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 الثاني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proofErr w:type="spellEnd"/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الفرع الأول </w:t>
      </w:r>
      <w:proofErr w:type="spellStart"/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proofErr w:type="spellEnd"/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تعريف عقد البناء والتشغيل ونقل الملكية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AF040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عقد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A0577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البوت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AF040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proofErr w:type="spellEnd"/>
    </w:p>
    <w:p w:rsidR="006C46C6" w:rsidRPr="00746C7B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 w:rsidRPr="00746C7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إن</w:t>
      </w:r>
      <w:proofErr w:type="gramEnd"/>
      <w:r w:rsidRPr="00746C7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الوصول إلى تعريف </w:t>
      </w:r>
      <w:r w:rsidRPr="00746C7B">
        <w:rPr>
          <w:rFonts w:ascii="Traditional Arabic" w:hAnsi="Traditional Arabic" w:cs="Traditional Arabic"/>
          <w:sz w:val="36"/>
          <w:szCs w:val="36"/>
          <w:rtl/>
          <w:lang w:bidi="ar-DZ"/>
        </w:rPr>
        <w:t>عقد البناء والتشغيل ونقل الملكية</w:t>
      </w:r>
      <w:r w:rsidRPr="00746C7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بشكل دقيق ومضبوط يقتضي منا الرجوع بداية إلى التعريف اللغوي للعقد </w:t>
      </w:r>
      <w:proofErr w:type="spellStart"/>
      <w:r w:rsidRPr="00746C7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</w:t>
      </w:r>
      <w:r w:rsidRPr="00746C7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746C7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ثم التعريف الاصطلاحي </w:t>
      </w:r>
      <w:r w:rsidRPr="00746C7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ثانيا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والتعريف الفقهي </w:t>
      </w:r>
      <w:r w:rsidRPr="00746C7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ثالثا</w:t>
      </w:r>
      <w:r w:rsidRPr="00746C7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وتعريفه القانوني </w:t>
      </w:r>
      <w:r w:rsidRPr="00746C7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رابعا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وتعريف العقد على مستوى المنظمات الدولية </w:t>
      </w:r>
      <w:r w:rsidRPr="00746C7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خامسا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746C7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6C46C6" w:rsidRPr="00D60864" w:rsidRDefault="006C46C6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أولا </w:t>
      </w:r>
      <w:proofErr w:type="spellStart"/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proofErr w:type="spellEnd"/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التعريف اللغوي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ل</w:t>
      </w:r>
      <w:r w:rsidRPr="00AF040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عقد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A0577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البوت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AF040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proofErr w:type="spellEnd"/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6C46C6" w:rsidRPr="00D60864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لا يعد مصطلح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البوت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اصطلاحا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قانونيا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إلا أنه أصبح يط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لق عليه في الآونة الأخيرة اصطلاح مشاريع البنية التحتية الممولة عن طريق القطاع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الخاص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وهذا المصطلح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هو اختصار لثلاث كلمات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باللغة الانجليزية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E13B18">
        <w:rPr>
          <w:rFonts w:asciiTheme="majorBidi" w:hAnsiTheme="majorBidi" w:cstheme="majorBidi"/>
          <w:sz w:val="28"/>
          <w:szCs w:val="28"/>
          <w:lang w:bidi="ar-DZ"/>
        </w:rPr>
        <w:t>Build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وتعني بناء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E13B18">
        <w:rPr>
          <w:rFonts w:asciiTheme="majorBidi" w:hAnsiTheme="majorBidi" w:cstheme="majorBidi"/>
          <w:sz w:val="28"/>
          <w:szCs w:val="28"/>
          <w:lang w:bidi="ar-DZ"/>
        </w:rPr>
        <w:t>Operate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وتعني تشغيل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r w:rsidRPr="00790943">
        <w:rPr>
          <w:rFonts w:asciiTheme="majorBidi" w:hAnsiTheme="majorBidi" w:cstheme="majorBidi"/>
          <w:sz w:val="28"/>
          <w:szCs w:val="28"/>
          <w:lang w:bidi="ar-DZ"/>
        </w:rPr>
        <w:t>Transfer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وتعني نقل ملكية المشروع من المستثمر (شركة المشروع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)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لى الجهة المتعاقدة (الدولة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حدى هيئاتها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)</w:t>
      </w:r>
      <w:proofErr w:type="spellEnd"/>
      <w:r w:rsidRPr="001C5979">
        <w:rPr>
          <w:rStyle w:val="Appelnotedebasdep"/>
          <w:rFonts w:ascii="Traditional Arabic" w:hAnsi="Traditional Arabic" w:cs="Traditional Arabic"/>
          <w:color w:val="FFFFFF" w:themeColor="background1"/>
          <w:sz w:val="36"/>
          <w:szCs w:val="36"/>
          <w:lang w:bidi="ar-DZ"/>
        </w:rPr>
        <w:footnoteReference w:customMarkFollows="1" w:id="1"/>
        <w:t>(</w:t>
      </w:r>
      <w:r>
        <w:rPr>
          <w:rStyle w:val="Appelnotedebasdep"/>
          <w:rFonts w:ascii="Traditional Arabic" w:hAnsi="Traditional Arabic" w:cs="Traditional Arabic"/>
          <w:sz w:val="36"/>
          <w:szCs w:val="36"/>
          <w:lang w:bidi="ar-DZ"/>
        </w:rPr>
        <w:t>1</w:t>
      </w:r>
      <w:r w:rsidRPr="001C5979">
        <w:rPr>
          <w:rStyle w:val="Appelnotedebasdep"/>
          <w:rFonts w:ascii="Traditional Arabic" w:hAnsi="Traditional Arabic" w:cs="Traditional Arabic"/>
          <w:color w:val="FFFFFF" w:themeColor="background1"/>
          <w:sz w:val="36"/>
          <w:szCs w:val="36"/>
          <w:lang w:bidi="ar-DZ"/>
        </w:rPr>
        <w:t>)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proofErr w:type="spellEnd"/>
    </w:p>
    <w:p w:rsidR="00710741" w:rsidRDefault="00710741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6C46C6" w:rsidRPr="00666671" w:rsidRDefault="006C46C6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66667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ثانيا</w:t>
      </w:r>
      <w:r w:rsidRPr="00666671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666671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proofErr w:type="spellEnd"/>
      <w:r w:rsidRPr="00666671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التعريف </w:t>
      </w:r>
      <w:r w:rsidRPr="0066667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الاصطلاحي لعقد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666671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البوت</w:t>
      </w:r>
      <w:proofErr w:type="spellEnd"/>
      <w:r w:rsidRPr="0066667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666671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Pr="0066667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proofErr w:type="spellEnd"/>
      <w:r w:rsidRPr="00666671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6C46C6" w:rsidRPr="00666671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يتجسد 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التعريف الاصطلاحي لعقد </w:t>
      </w:r>
      <w:proofErr w:type="spellStart"/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>البوت</w:t>
      </w:r>
      <w:proofErr w:type="spellEnd"/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666671">
        <w:rPr>
          <w:rFonts w:asciiTheme="majorBidi" w:hAnsiTheme="majorBidi" w:cstheme="majorBidi"/>
          <w:sz w:val="28"/>
          <w:szCs w:val="28"/>
          <w:lang w:bidi="ar-DZ"/>
        </w:rPr>
        <w:t>BOT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مختلف المشروعات التي تعهد </w:t>
      </w:r>
      <w:proofErr w:type="spellStart"/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>بها</w:t>
      </w:r>
      <w:proofErr w:type="spellEnd"/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الحكومة 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لى 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إح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دى الشركات وطنية كانت 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 </w:t>
      </w:r>
      <w:proofErr w:type="spellStart"/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>جنبية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وسواء كانت شركة من شركات القطاع العام 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>م القطاع الخاص (شركة المشروع</w:t>
      </w:r>
      <w:proofErr w:type="spellStart"/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>)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وذلك ل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نشاء مرفق عام وتشغيله لحسابها 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خلال 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مدة 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معينة 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من الزمن ثم 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تن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قل ملكيته 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لى الدولة 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الجهة الإدارية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المتعاقد معها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2"/>
      </w:r>
      <w:proofErr w:type="spellStart"/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proofErr w:type="spellEnd"/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             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ثالثا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proofErr w:type="spellEnd"/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التعريف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الفقهي ل</w:t>
      </w:r>
      <w:r w:rsidRPr="00AF040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عقد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A0577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البوت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AF040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proofErr w:type="spellEnd"/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6C46C6" w:rsidRPr="00D60864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عرف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فقهاء القانون </w:t>
      </w:r>
      <w:r w:rsidRPr="00BB70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عقود </w:t>
      </w:r>
      <w:proofErr w:type="spellStart"/>
      <w:r w:rsidRPr="00BB7082">
        <w:rPr>
          <w:rFonts w:ascii="Traditional Arabic" w:hAnsi="Traditional Arabic" w:cs="Traditional Arabic"/>
          <w:sz w:val="36"/>
          <w:szCs w:val="36"/>
          <w:rtl/>
          <w:lang w:bidi="ar-DZ"/>
        </w:rPr>
        <w:t>البوت</w:t>
      </w:r>
      <w:proofErr w:type="spellEnd"/>
      <w:r w:rsidRPr="00BB70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0E3F66">
        <w:rPr>
          <w:rFonts w:asciiTheme="majorBidi" w:hAnsiTheme="majorBidi" w:cstheme="majorBidi"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بصورة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موحدة،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وذلك لصعوبة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وضع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تعريف دقيق يحيط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حاطة كاملة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مفهوم الشامل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لهذا الأسلوب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التعاقدي،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حيث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يضم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هذا الأخير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عد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د من العناصر التعاقدية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المختلفة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لذلك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اعتبر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جانب من الفقه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 عقد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البو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E3F66">
        <w:rPr>
          <w:rFonts w:asciiTheme="majorBidi" w:hAnsiTheme="majorBidi" w:cstheme="majorBidi"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"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هو نظام لتمويل مشروعات البنية الأساسية بواسطة القطاع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الخ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اص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وبمقتضاه تمنح الدولة ترخيصا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و امتيازا 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حدى الشركات الخاصة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الوطنية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الأجنبية تعرف في العمل بشركة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المشروع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أج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إن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شاء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حدى المشاريع الأساسية واستغلاله مدة محددة الزمن تكون كافية لاسترداد التكاليف التي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فقت فضلا عن قدر من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>الربح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على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ن تلتزم شركة المشروع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في نهاية المدة بإعادة المشروع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لى الدولة بحالة جيدة ودون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مقابل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proofErr w:type="spellEnd"/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3"/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</w:p>
    <w:p w:rsidR="006C46C6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كما</w:t>
      </w:r>
      <w:proofErr w:type="gramEnd"/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عرفه الأستاذ </w:t>
      </w:r>
      <w:r w:rsidRPr="00AF7451">
        <w:rPr>
          <w:rFonts w:asciiTheme="majorBidi" w:hAnsiTheme="majorBidi" w:cstheme="majorBidi"/>
          <w:sz w:val="28"/>
          <w:szCs w:val="28"/>
          <w:lang w:bidi="ar-DZ"/>
        </w:rPr>
        <w:t xml:space="preserve">J. </w:t>
      </w:r>
      <w:proofErr w:type="spellStart"/>
      <w:proofErr w:type="gramStart"/>
      <w:r w:rsidRPr="00AF7451">
        <w:rPr>
          <w:rFonts w:asciiTheme="majorBidi" w:hAnsiTheme="majorBidi" w:cstheme="majorBidi"/>
          <w:sz w:val="28"/>
          <w:szCs w:val="28"/>
          <w:lang w:bidi="ar-DZ"/>
        </w:rPr>
        <w:t>M.Loncl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>عقد امتياز</w:t>
      </w:r>
      <w:r w:rsidRPr="00AF745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AF745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>لبوت</w:t>
      </w:r>
      <w:proofErr w:type="spellEnd"/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</w:t>
      </w:r>
      <w:r w:rsidRPr="00AF745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نه </w:t>
      </w:r>
      <w:r w:rsidRPr="00AF745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>عبارة عن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عملية </w:t>
      </w:r>
      <w:proofErr w:type="spellStart"/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>تعاقدية</w:t>
      </w:r>
      <w:r w:rsidRPr="00AF745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خلالها يجتمع عدد من الشركات الخاصة تحت اسم شركة </w:t>
      </w:r>
      <w:proofErr w:type="spellStart"/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>المشروع</w:t>
      </w:r>
      <w:r w:rsidRPr="00AF745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التي تتولى تمويل و</w:t>
      </w:r>
      <w:r w:rsidRPr="00AF745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إن</w:t>
      </w:r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شاء واستغلال مرفق </w:t>
      </w:r>
      <w:r w:rsidRPr="00C3415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عام </w:t>
      </w:r>
      <w:r w:rsidRPr="00C3415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</w:t>
      </w:r>
      <w:r w:rsidRPr="00C3415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 منحة بواسطة الدولة خلال مدة </w:t>
      </w:r>
      <w:proofErr w:type="spellStart"/>
      <w:r w:rsidRPr="00C34159">
        <w:rPr>
          <w:rFonts w:ascii="Traditional Arabic" w:hAnsi="Traditional Arabic" w:cs="Traditional Arabic"/>
          <w:sz w:val="36"/>
          <w:szCs w:val="36"/>
          <w:rtl/>
          <w:lang w:bidi="ar-DZ"/>
        </w:rPr>
        <w:t>معينة،</w:t>
      </w:r>
      <w:proofErr w:type="spellEnd"/>
      <w:r w:rsidRPr="00C3415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على </w:t>
      </w:r>
      <w:r w:rsidRPr="00C3415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C3415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 شركة المشروع تلتزم بإعادة المشروع </w:t>
      </w:r>
      <w:r w:rsidRPr="00C3415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C3415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لى الجهة مانحة الالتزام في نهاية مدة </w:t>
      </w:r>
      <w:proofErr w:type="spellStart"/>
      <w:r w:rsidRPr="00C34159">
        <w:rPr>
          <w:rFonts w:ascii="Traditional Arabic" w:hAnsi="Traditional Arabic" w:cs="Traditional Arabic"/>
          <w:sz w:val="36"/>
          <w:szCs w:val="36"/>
          <w:rtl/>
          <w:lang w:bidi="ar-DZ"/>
        </w:rPr>
        <w:t>العقد</w:t>
      </w:r>
      <w:r w:rsidRPr="00C3415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proofErr w:type="spellEnd"/>
      <w:r w:rsidRPr="00C34159"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4"/>
      </w:r>
      <w:proofErr w:type="spellStart"/>
      <w:r w:rsidRPr="00C3415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  <w:proofErr w:type="gramEnd"/>
    </w:p>
    <w:p w:rsidR="006C46C6" w:rsidRPr="005221EE" w:rsidRDefault="006C46C6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spellStart"/>
      <w:r w:rsidRPr="005221E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رابعا:</w:t>
      </w:r>
      <w:proofErr w:type="spellEnd"/>
      <w:r w:rsidRPr="005221E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التعريف القانوني لعقد </w:t>
      </w:r>
      <w:proofErr w:type="spellStart"/>
      <w:r w:rsidRPr="005221E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البوت</w:t>
      </w:r>
      <w:proofErr w:type="spellEnd"/>
      <w:r w:rsidRPr="005221E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5221EE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BOT</w:t>
      </w:r>
    </w:p>
    <w:p w:rsidR="006C46C6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سنحاول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خلال هذا العنصر التطرق للتعريفات التي جاءت في إطار تشريعات بعض الدول والتي من بينها التشريع الجزائري.          </w:t>
      </w:r>
    </w:p>
    <w:p w:rsidR="006C46C6" w:rsidRPr="00226A9F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5569B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1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تعريف عقد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البوت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في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مختلف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التشريعات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الوطنية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</w:p>
    <w:p w:rsidR="005702BA" w:rsidRDefault="006C46C6" w:rsidP="005702BA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م تعر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َ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غلب التشريعات الوطنية عقد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البوت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رغم أن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هنا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بعض ال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دول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عمدت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صدار قانون ينظم التعاقد وفق صيغة عقد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البوت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حرصا منهما على مواكبة التطورات الاقتصادية وجذب الاستثمارات في مجال مشروعات البنية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التحتية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نذكر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منها على سبيل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المثال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المشرع التركي في القانون رقم (3996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)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لعام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1994م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والمتعلق بعقد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البو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ذ عرفت المادة (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13أ)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منه عقد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البوت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أنه: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نموذج تمويلي خاص بتطوير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المشروعات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يتطلب تكنولوجيا عالية ور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س مال مستثمر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عالي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يتمكن المتعهد خلاله من ا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ستعادة قيمة استثماراته عن طريق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زام المانح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المستفيدين شراء الخدمات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المنتجات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proofErr w:type="spellEnd"/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5"/>
      </w:r>
      <w:proofErr w:type="spellStart"/>
      <w:r w:rsidR="005702B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:rsidR="006C46C6" w:rsidRDefault="005702BA" w:rsidP="005702BA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ك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ذلك الحال بالنسبة للمشرع الصيني الذي عمد 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سنة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1996 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لى وضع قواعد قانونية تتعلق بالا</w:t>
      </w:r>
      <w:r w:rsidR="006C46C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ستثمار الأجنبي وفقا لعقود </w:t>
      </w:r>
      <w:proofErr w:type="spellStart"/>
      <w:r w:rsidR="006C46C6">
        <w:rPr>
          <w:rFonts w:ascii="Traditional Arabic" w:hAnsi="Traditional Arabic" w:cs="Traditional Arabic"/>
          <w:sz w:val="36"/>
          <w:szCs w:val="36"/>
          <w:rtl/>
          <w:lang w:bidi="ar-DZ"/>
        </w:rPr>
        <w:t>البوت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proofErr w:type="spellEnd"/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حيث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عرفت المادة (02</w:t>
      </w:r>
      <w:proofErr w:type="spellStart"/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)</w:t>
      </w:r>
      <w:proofErr w:type="spellEnd"/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هذه 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القواعد عقد </w:t>
      </w:r>
      <w:proofErr w:type="spellStart"/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البوت</w:t>
      </w:r>
      <w:proofErr w:type="spellEnd"/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ب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نه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proofErr w:type="spellEnd"/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="006C46C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مشروعات البنية 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التحتية التي تبنى وتدار وتنقل مل</w:t>
      </w:r>
      <w:r w:rsidR="006C46C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كيتها بواسطة المستثمرين </w:t>
      </w:r>
      <w:proofErr w:type="spellStart"/>
      <w:r w:rsidR="006C46C6">
        <w:rPr>
          <w:rFonts w:ascii="Traditional Arabic" w:hAnsi="Traditional Arabic" w:cs="Traditional Arabic"/>
          <w:sz w:val="36"/>
          <w:szCs w:val="36"/>
          <w:rtl/>
          <w:lang w:bidi="ar-DZ"/>
        </w:rPr>
        <w:t>الأجانب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proofErr w:type="spellEnd"/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ذ غالبا ما تعطيه الحكومة ال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ذن في 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نشاء مشروع </w:t>
      </w:r>
      <w:r w:rsidR="006C46C6" w:rsidRPr="00E34B66">
        <w:rPr>
          <w:rFonts w:asciiTheme="majorBidi" w:hAnsiTheme="majorBidi" w:cstheme="majorBidi"/>
          <w:sz w:val="28"/>
          <w:szCs w:val="28"/>
          <w:lang w:bidi="ar-DZ"/>
        </w:rPr>
        <w:t>B.</w:t>
      </w:r>
      <w:proofErr w:type="gramStart"/>
      <w:r w:rsidR="006C46C6" w:rsidRPr="00E34B66">
        <w:rPr>
          <w:rFonts w:asciiTheme="majorBidi" w:hAnsiTheme="majorBidi" w:cstheme="majorBidi"/>
          <w:sz w:val="28"/>
          <w:szCs w:val="28"/>
          <w:lang w:bidi="ar-DZ"/>
        </w:rPr>
        <w:t>O.T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الذي يكون المتعهد فيه </w:t>
      </w:r>
      <w:proofErr w:type="spellStart"/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مسؤول</w:t>
      </w:r>
      <w:proofErr w:type="spellEnd"/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عن تمويل المشروع و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دارته وصيانته وبعد انتهاء مدة العقد يقوم المتعهد بنقل المشروع 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ى الم</w:t>
      </w:r>
      <w:r w:rsidR="006C46C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انح بحالة جيدة ومن غير أي </w:t>
      </w:r>
      <w:proofErr w:type="spellStart"/>
      <w:r w:rsidR="006C46C6">
        <w:rPr>
          <w:rFonts w:ascii="Traditional Arabic" w:hAnsi="Traditional Arabic" w:cs="Traditional Arabic"/>
          <w:sz w:val="36"/>
          <w:szCs w:val="36"/>
          <w:rtl/>
          <w:lang w:bidi="ar-DZ"/>
        </w:rPr>
        <w:t>أعباء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proofErr w:type="spellEnd"/>
      <w:r w:rsidR="006C46C6"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6"/>
      </w:r>
      <w:proofErr w:type="spellStart"/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  <w:proofErr w:type="gramEnd"/>
    </w:p>
    <w:p w:rsidR="006C46C6" w:rsidRPr="00746C7B" w:rsidRDefault="006C46C6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746C7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2. موقف المشرع الجزائري من تعريف عقد </w:t>
      </w:r>
      <w:proofErr w:type="spellStart"/>
      <w:r w:rsidRPr="00746C7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البوت</w:t>
      </w:r>
      <w:proofErr w:type="spellEnd"/>
      <w:r w:rsidRPr="00746C7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746C7B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BOT</w:t>
      </w:r>
    </w:p>
    <w:p w:rsidR="006C46C6" w:rsidRPr="00D60864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ل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 xml:space="preserve">م يتطرق المشرع الجزائري </w:t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ل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تسمية "</w:t>
      </w:r>
      <w:proofErr w:type="spellStart"/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ال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بوت"</w:t>
      </w:r>
      <w:proofErr w:type="spellEnd"/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 xml:space="preserve"> في مختلف </w:t>
      </w:r>
      <w:proofErr w:type="spellStart"/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القوانين</w:t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،</w:t>
      </w:r>
      <w:proofErr w:type="spellEnd"/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 xml:space="preserve"> غير </w:t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أن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نا نلاحظ هذه الصيغة القانونية من صيغ عقود الامتياز من خ</w:t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ـــــ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لال جملة من النص</w:t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ــ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وص القانوني</w:t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ــــ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ة ذات الطاب</w:t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ـــ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ع التشري</w:t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ــــ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عي والتنظي</w:t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ـــ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مي</w:t>
      </w:r>
      <w:r w:rsidRPr="00842792">
        <w:rPr>
          <w:rStyle w:val="Appelnotedebasdep"/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footnoteReference w:id="7"/>
      </w:r>
      <w:proofErr w:type="spellStart"/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،</w:t>
      </w:r>
      <w:proofErr w:type="spellEnd"/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 xml:space="preserve"> حيث 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 xml:space="preserve">نجد مثلا نص المادة الأولى من المرسوم التنفيذي </w:t>
      </w:r>
      <w:r w:rsidRPr="00842792">
        <w:rPr>
          <w:rFonts w:ascii="Traditional Arabic" w:hAnsi="Traditional Arabic" w:cs="Traditional Arabic"/>
          <w:sz w:val="28"/>
          <w:szCs w:val="28"/>
          <w:shd w:val="clear" w:color="auto" w:fill="FFFFFF" w:themeFill="background1"/>
          <w:rtl/>
          <w:lang w:bidi="ar-DZ"/>
        </w:rPr>
        <w:t xml:space="preserve">96-308 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المتعلق بمنح امتيازات الطرق السريعة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8"/>
      </w:r>
      <w:r>
        <w:rPr>
          <w:rStyle w:val="Appelnotedebasdep"/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نصت على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"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يخضع انجاز الطرق السريعة وملحقاتها وتسييرها وصيانتها 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شغال تهيئتها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توسيعها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منح الامتياز.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9"/>
      </w:r>
    </w:p>
    <w:p w:rsidR="006C46C6" w:rsidRPr="00D60864" w:rsidRDefault="006C46C6" w:rsidP="006C46C6">
      <w:pPr>
        <w:spacing w:line="276" w:lineRule="auto"/>
        <w:ind w:left="-1" w:firstLine="361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ضافت المادة</w:t>
      </w:r>
      <w:r w:rsidRPr="00CC211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29/1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من دفتر الأعباء النموذجي "عند انقضاء المدة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المرتقبة من 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حكام المادة أعلاه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وبموجب هذا الانقضاء لا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غير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يحل مانح الامتي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از محل صاحب الامتياز في جميع 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قوق والالتزامات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المرتبطة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بالامتياز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ويتسلم على الفور التجهيزات والأجهزة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وملحقاتها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خلال هذه المادة نستخلص عناصر عقد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البوت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وهي الإنجاز 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تسيير ثم الإعادة.</w:t>
      </w:r>
    </w:p>
    <w:p w:rsidR="006C46C6" w:rsidRPr="00D60864" w:rsidRDefault="006C46C6" w:rsidP="006C46C6">
      <w:pPr>
        <w:spacing w:line="276" w:lineRule="auto"/>
        <w:ind w:firstLine="36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ما</w:t>
      </w:r>
      <w:proofErr w:type="gram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في </w:t>
      </w:r>
      <w:r w:rsidRPr="00F45076">
        <w:rPr>
          <w:rFonts w:ascii="Traditional Arabic" w:hAnsi="Traditional Arabic" w:cs="Traditional Arabic"/>
          <w:sz w:val="36"/>
          <w:szCs w:val="36"/>
          <w:rtl/>
          <w:lang w:bidi="ar-DZ"/>
        </w:rPr>
        <w:t>ميدان النقل الجوي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نجد المادة 08 من القانون رقم </w:t>
      </w:r>
      <w:r w:rsidRPr="003E7E5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2000-05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تنص على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نه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"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تقوم الدولة ب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نشاء المحطات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جوية 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نجازها محل امتياز يمنح 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شخاص طبيعيين من جنسية جزائرية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شخاص اع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تباريين خاضعين للقانون الجزائري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proofErr w:type="spellEnd"/>
      <w:proofErr w:type="gramEnd"/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0"/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كما تنص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المادة 3 من 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مر رقم 03-10 "يمكن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يكون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إن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جاز واستغلال محطة جوية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مطار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و محطة طوافات بغرض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فتحها للملاحة الجوية العمومية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موضوع امتياز تمنحه السلطة المكلفة بالطيران المدني.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1"/>
      </w:r>
      <w:r>
        <w:rPr>
          <w:rStyle w:val="Appelnotedebasdep"/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6C46C6" w:rsidRPr="00D60864" w:rsidRDefault="006C46C6" w:rsidP="006C46C6">
      <w:pPr>
        <w:spacing w:line="276" w:lineRule="auto"/>
        <w:ind w:left="-1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بالإضافة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 ال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قانون رقم </w:t>
      </w:r>
      <w:r w:rsidRPr="003E7E5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02-01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المتعلق </w:t>
      </w:r>
      <w:r w:rsidRPr="00F45076">
        <w:rPr>
          <w:rFonts w:ascii="Traditional Arabic" w:hAnsi="Traditional Arabic" w:cs="Traditional Arabic"/>
          <w:sz w:val="36"/>
          <w:szCs w:val="36"/>
          <w:rtl/>
          <w:lang w:bidi="ar-DZ"/>
        </w:rPr>
        <w:t>بالكهرباء وتوزيع الغاز بواسطة القنوات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قد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تضمن هذه الصيغة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التعاقد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خاصة في مادته</w:t>
      </w:r>
      <w:r w:rsidRPr="003E7E5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الثانية،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حيث تنص هذه الأخيرة على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"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ينجز المنشآت الجديدة 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نتاج الكهرباء ويستغلها كل شخص طبيعي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معنوي خاضع للقانون الخاص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العام،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ائز رخصة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لاستغلال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من خلال ما جاء في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هذه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الماد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ة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نجد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 المشرع أورد المراحل المتضمنة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في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عقود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البوت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وهي الإنجاز والاستغلال وبعدها إعادة المشروع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لى الدولة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2"/>
      </w:r>
    </w:p>
    <w:p w:rsidR="006C46C6" w:rsidRPr="00D60864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كما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فتح المشرع الجزائري المجال للتعاقد بأسلوب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البوت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وذلك ب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صداره للقانون رقم 05-12 المؤرخ في 04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وت 2005 </w:t>
      </w:r>
      <w:r w:rsidRPr="00F4507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المتعلق </w:t>
      </w:r>
      <w:proofErr w:type="spellStart"/>
      <w:r w:rsidRPr="00F45076">
        <w:rPr>
          <w:rFonts w:ascii="Traditional Arabic" w:hAnsi="Traditional Arabic" w:cs="Traditional Arabic"/>
          <w:sz w:val="36"/>
          <w:szCs w:val="36"/>
          <w:rtl/>
          <w:lang w:bidi="ar-DZ"/>
        </w:rPr>
        <w:t>بالمياه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حيث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نص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المادة 17 منه على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تخضع كذلك لل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ملاك العمومية الاصطناعية للمياه المنشآت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والهياكل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التي تعتبر ملكا يرجع للدولة بد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ون مقابل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بعد نفاذ عقد الامتياز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التفويض لل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نجاز والاستغلال المبرم مع شخص طبيعي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معنوي خاضع للقانون العام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القانون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الخاص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proofErr w:type="spellEnd"/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3"/>
      </w:r>
    </w:p>
    <w:p w:rsidR="006C46C6" w:rsidRPr="00D60864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في هذا الصدد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برمت شركة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فرع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سونطراك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(</w:t>
      </w:r>
      <w:proofErr w:type="spellEnd"/>
      <w:r w:rsidRPr="00004F9F">
        <w:rPr>
          <w:rFonts w:asciiTheme="majorBidi" w:hAnsiTheme="majorBidi" w:cstheme="majorBidi"/>
          <w:sz w:val="28"/>
          <w:szCs w:val="28"/>
          <w:lang w:bidi="ar-DZ"/>
        </w:rPr>
        <w:t>SONATRACH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)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واقعة بولاية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سكيكدة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وسونلغاز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والوكالة الجزائرية للطاقة </w:t>
      </w:r>
      <w:r w:rsidRPr="00004F9F">
        <w:rPr>
          <w:rFonts w:asciiTheme="majorBidi" w:hAnsiTheme="majorBidi" w:cstheme="majorBidi"/>
          <w:sz w:val="28"/>
          <w:szCs w:val="28"/>
          <w:lang w:bidi="ar-DZ"/>
        </w:rPr>
        <w:t>AEC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عقدا مع مجموعة </w:t>
      </w:r>
      <w:r w:rsidRPr="00004F9F">
        <w:rPr>
          <w:rFonts w:asciiTheme="majorBidi" w:hAnsiTheme="majorBidi" w:cstheme="majorBidi"/>
          <w:sz w:val="28"/>
          <w:szCs w:val="28"/>
          <w:lang w:bidi="ar-DZ"/>
        </w:rPr>
        <w:t xml:space="preserve">SNC </w:t>
      </w:r>
      <w:proofErr w:type="spellStart"/>
      <w:r w:rsidRPr="00004F9F">
        <w:rPr>
          <w:rFonts w:asciiTheme="majorBidi" w:hAnsiTheme="majorBidi" w:cstheme="majorBidi"/>
          <w:sz w:val="28"/>
          <w:szCs w:val="28"/>
          <w:lang w:bidi="ar-DZ"/>
        </w:rPr>
        <w:t>Lavalin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بقيمة 600 مليون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دولار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لتصميم 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نشاء وتشغيل محطة لتوليد الكهرباء لمدة 12 </w:t>
      </w:r>
      <w:proofErr w:type="spellStart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سنة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مع إمكا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نية تجديد العقد لنفس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المدة،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يبين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العقود التي تبرمها الجزائر مع الشركات الأجنبية 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تي تحت صيغة عقد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البوت</w:t>
      </w:r>
      <w:proofErr w:type="spell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sectPr w:rsidR="006C46C6" w:rsidRPr="00D60864" w:rsidSect="00057AEB">
      <w:headerReference w:type="default" r:id="rId8"/>
      <w:footerReference w:type="default" r:id="rId9"/>
      <w:footnotePr>
        <w:numRestart w:val="eachPage"/>
      </w:footnotePr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747" w:rsidRDefault="00114747" w:rsidP="00FA61F2">
      <w:r>
        <w:separator/>
      </w:r>
    </w:p>
  </w:endnote>
  <w:endnote w:type="continuationSeparator" w:id="0">
    <w:p w:rsidR="00114747" w:rsidRDefault="00114747" w:rsidP="00FA6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iri">
    <w:altName w:val="Courier New"/>
    <w:charset w:val="00"/>
    <w:family w:val="auto"/>
    <w:pitch w:val="variable"/>
    <w:sig w:usb0="00000000" w:usb1="C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42173197"/>
      <w:docPartObj>
        <w:docPartGallery w:val="Page Numbers (Bottom of Page)"/>
        <w:docPartUnique/>
      </w:docPartObj>
    </w:sdtPr>
    <w:sdtEndPr>
      <w:rPr>
        <w:rFonts w:ascii="Simplified Arabic" w:hAnsi="Simplified Arabic" w:cs="Simplified Arabic"/>
        <w:sz w:val="28"/>
        <w:szCs w:val="28"/>
      </w:rPr>
    </w:sdtEndPr>
    <w:sdtContent>
      <w:p w:rsidR="00346919" w:rsidRPr="00057AEB" w:rsidRDefault="00227D06">
        <w:pPr>
          <w:pStyle w:val="Pieddepage"/>
          <w:jc w:val="center"/>
          <w:rPr>
            <w:rFonts w:ascii="Simplified Arabic" w:hAnsi="Simplified Arabic" w:cs="Simplified Arabic"/>
            <w:sz w:val="28"/>
            <w:szCs w:val="28"/>
          </w:rPr>
        </w:pPr>
        <w:r w:rsidRPr="00057AEB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="00346919" w:rsidRPr="00057AEB">
          <w:rPr>
            <w:rFonts w:ascii="Simplified Arabic" w:hAnsi="Simplified Arabic" w:cs="Simplified Arabic"/>
            <w:sz w:val="28"/>
            <w:szCs w:val="28"/>
          </w:rPr>
          <w:instrText>PAGE   \* MERGEFORMAT</w:instrText>
        </w:r>
        <w:r w:rsidRPr="00057AEB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F727C6" w:rsidRPr="00F727C6">
          <w:rPr>
            <w:rFonts w:ascii="Simplified Arabic" w:hAnsi="Simplified Arabic" w:cs="Simplified Arabic"/>
            <w:noProof/>
            <w:sz w:val="28"/>
            <w:szCs w:val="28"/>
            <w:rtl/>
            <w:lang w:val="fr-FR"/>
          </w:rPr>
          <w:t>8</w:t>
        </w:r>
        <w:r w:rsidRPr="00057AEB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  <w:p w:rsidR="00346919" w:rsidRDefault="00346919" w:rsidP="00057AEB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747" w:rsidRDefault="00114747" w:rsidP="00FA61F2">
      <w:r>
        <w:separator/>
      </w:r>
    </w:p>
  </w:footnote>
  <w:footnote w:type="continuationSeparator" w:id="0">
    <w:p w:rsidR="00114747" w:rsidRDefault="00114747" w:rsidP="00FA61F2">
      <w:r>
        <w:continuationSeparator/>
      </w:r>
    </w:p>
  </w:footnote>
  <w:footnote w:id="1">
    <w:p w:rsidR="00346919" w:rsidRPr="00E34B66" w:rsidRDefault="00346919" w:rsidP="006C46C6">
      <w:pPr>
        <w:pStyle w:val="Notedebasdepage"/>
        <w:rPr>
          <w:rFonts w:ascii="Traditional Arabic" w:hAnsi="Traditional Arabic" w:cs="Traditional Arabic"/>
          <w:sz w:val="26"/>
          <w:szCs w:val="26"/>
          <w:rtl/>
          <w:lang w:bidi="ar-DZ"/>
        </w:rPr>
      </w:pPr>
      <w:r w:rsidRPr="00E34B66">
        <w:rPr>
          <w:rStyle w:val="Appelnotedebasdep"/>
          <w:rFonts w:ascii="Traditional Arabic" w:hAnsi="Traditional Arabic" w:cs="Traditional Arabic"/>
          <w:sz w:val="26"/>
          <w:szCs w:val="26"/>
        </w:rPr>
        <w:t>1</w:t>
      </w:r>
      <w:proofErr w:type="spellStart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مصطفى عبد المحسن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الحبشي،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الوجيز في عقود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البوت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BA2E26">
        <w:rPr>
          <w:rFonts w:ascii="Traditional Arabic" w:hAnsi="Traditional Arabic" w:cs="Traditional Arabic"/>
          <w:sz w:val="28"/>
          <w:szCs w:val="28"/>
          <w:lang w:bidi="ar-DZ"/>
        </w:rPr>
        <w:t>BOT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المجلة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الكبرى،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دار الكتب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القانونية،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مصر،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2008،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ص9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</w:footnote>
  <w:footnote w:id="2">
    <w:p w:rsidR="00346919" w:rsidRDefault="00346919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proofErr w:type="gram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مصطفى</w:t>
      </w:r>
      <w:proofErr w:type="gram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عبد المحسن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الحبشي،</w:t>
      </w:r>
      <w:proofErr w:type="spellEnd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المرجع </w:t>
      </w:r>
      <w:proofErr w:type="spellStart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السابق،</w:t>
      </w:r>
      <w:proofErr w:type="spellEnd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ص 10.</w:t>
      </w:r>
    </w:p>
  </w:footnote>
  <w:footnote w:id="3">
    <w:p w:rsidR="00346919" w:rsidRPr="009A2E69" w:rsidRDefault="00346919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هاني صلاح سرى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الدين،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التنظيم القانوني لمشروعات البنية الأساسية الممولة عن طريق القطاع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الخاص،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دراسة تحليلية لنظام التمليك والتشغيل ونقل الملكية</w:t>
      </w:r>
      <w:r w:rsidRPr="00BA2E26">
        <w:rPr>
          <w:rFonts w:ascii="Traditional Arabic" w:hAnsi="Traditional Arabic" w:cs="Traditional Arabic"/>
          <w:sz w:val="28"/>
          <w:szCs w:val="28"/>
          <w:lang w:bidi="ar-DZ"/>
        </w:rPr>
        <w:t>BOT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وغيرها من صور مشاركة القطاع الخاص في تقديم خدمات البنية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الأساسية،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ط1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،دار النهضة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العربية،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مصر،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2001،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 52.</w:t>
      </w:r>
    </w:p>
  </w:footnote>
  <w:footnote w:id="4">
    <w:p w:rsidR="00346919" w:rsidRPr="009A2E69" w:rsidRDefault="00346919" w:rsidP="0095342F">
      <w:pPr>
        <w:pStyle w:val="Notedebasdepage"/>
        <w:bidi w:val="0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rFonts w:hint="cs"/>
          <w:rtl/>
        </w:rPr>
        <w:t>-</w:t>
      </w:r>
      <w:proofErr w:type="spellEnd"/>
      <w:r w:rsidRPr="009A2E69">
        <w:rPr>
          <w:rFonts w:asciiTheme="majorBidi" w:hAnsiTheme="majorBidi" w:cstheme="majorBidi"/>
        </w:rPr>
        <w:t xml:space="preserve"> </w:t>
      </w:r>
      <w:r w:rsidRPr="006A7AE8">
        <w:rPr>
          <w:rFonts w:asciiTheme="majorBidi" w:hAnsiTheme="majorBidi" w:cstheme="majorBidi"/>
          <w:sz w:val="22"/>
          <w:szCs w:val="22"/>
        </w:rPr>
        <w:t xml:space="preserve">LONCLE J.M. </w:t>
      </w:r>
      <w:proofErr w:type="spellStart"/>
      <w:r w:rsidRPr="006A7AE8">
        <w:rPr>
          <w:rFonts w:asciiTheme="majorBidi" w:hAnsiTheme="majorBidi" w:cstheme="majorBidi"/>
          <w:sz w:val="22"/>
          <w:szCs w:val="22"/>
        </w:rPr>
        <w:t>Grands</w:t>
      </w:r>
      <w:proofErr w:type="spellEnd"/>
      <w:r w:rsidRPr="006A7AE8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6A7AE8">
        <w:rPr>
          <w:rFonts w:asciiTheme="majorBidi" w:hAnsiTheme="majorBidi" w:cstheme="majorBidi"/>
          <w:sz w:val="22"/>
          <w:szCs w:val="22"/>
        </w:rPr>
        <w:t>Projets</w:t>
      </w:r>
      <w:proofErr w:type="spellEnd"/>
      <w:r w:rsidRPr="006A7AE8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6A7AE8">
        <w:rPr>
          <w:rFonts w:asciiTheme="majorBidi" w:hAnsiTheme="majorBidi" w:cstheme="majorBidi"/>
          <w:sz w:val="22"/>
          <w:szCs w:val="22"/>
        </w:rPr>
        <w:t>d’infrastructures</w:t>
      </w:r>
      <w:proofErr w:type="spellEnd"/>
      <w:r w:rsidRPr="006A7AE8">
        <w:rPr>
          <w:rFonts w:asciiTheme="majorBidi" w:hAnsiTheme="majorBidi" w:cstheme="majorBidi"/>
          <w:sz w:val="22"/>
          <w:szCs w:val="22"/>
        </w:rPr>
        <w:t xml:space="preserve"> le montage Build. </w:t>
      </w:r>
      <w:proofErr w:type="spellStart"/>
      <w:proofErr w:type="gramStart"/>
      <w:r w:rsidRPr="006A7AE8">
        <w:rPr>
          <w:rFonts w:asciiTheme="majorBidi" w:hAnsiTheme="majorBidi" w:cstheme="majorBidi"/>
          <w:sz w:val="22"/>
          <w:szCs w:val="22"/>
        </w:rPr>
        <w:t>Operate.Transfer</w:t>
      </w:r>
      <w:proofErr w:type="spellEnd"/>
      <w:r w:rsidRPr="006A7AE8">
        <w:rPr>
          <w:rFonts w:asciiTheme="majorBidi" w:hAnsiTheme="majorBidi" w:cstheme="majorBidi"/>
          <w:sz w:val="22"/>
          <w:szCs w:val="22"/>
        </w:rPr>
        <w:t xml:space="preserve"> Bot.m8 Paris.1997.p946.</w:t>
      </w:r>
      <w:proofErr w:type="gramEnd"/>
    </w:p>
  </w:footnote>
  <w:footnote w:id="5">
    <w:p w:rsidR="00346919" w:rsidRPr="00D9274D" w:rsidRDefault="00346919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إلياس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ناصف،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عقد </w:t>
      </w:r>
      <w:r w:rsidRPr="00BA2E26">
        <w:rPr>
          <w:rFonts w:ascii="Traditional Arabic" w:hAnsi="Traditional Arabic" w:cs="Traditional Arabic"/>
          <w:sz w:val="28"/>
          <w:szCs w:val="28"/>
          <w:lang w:bidi="ar-DZ"/>
        </w:rPr>
        <w:t>BOT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المؤسسة الحديثة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للكتاب،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طرابلس،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لبنان،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ط،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2006،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 82.</w:t>
      </w:r>
    </w:p>
  </w:footnote>
  <w:footnote w:id="6">
    <w:p w:rsidR="00346919" w:rsidRPr="00D9274D" w:rsidRDefault="00346919" w:rsidP="006C46C6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إبرا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هيم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شه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اوي،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عقد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إمتیاز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المرفق العام</w:t>
      </w:r>
      <w:r w:rsidRPr="00BA2E26">
        <w:rPr>
          <w:rFonts w:ascii="Traditional Arabic" w:hAnsi="Traditional Arabic" w:cs="Traditional Arabic"/>
          <w:sz w:val="28"/>
          <w:szCs w:val="28"/>
          <w:lang w:bidi="ar-DZ"/>
        </w:rPr>
        <w:t xml:space="preserve"> BOT 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دراسة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مقارنة،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الطبعة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الأولى،</w:t>
      </w:r>
      <w:proofErr w:type="spellEnd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د.د.ن،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القا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ھ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رة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2003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ص </w:t>
      </w:r>
      <w:r w:rsidRPr="00BA2E26">
        <w:rPr>
          <w:rFonts w:ascii="Traditional Arabic" w:hAnsi="Traditional Arabic" w:cs="Traditional Arabic"/>
          <w:sz w:val="28"/>
          <w:szCs w:val="28"/>
          <w:lang w:bidi="ar-DZ"/>
        </w:rPr>
        <w:t>45</w:t>
      </w:r>
      <w:proofErr w:type="spellStart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  <w:r w:rsidRPr="00D51629">
        <w:rPr>
          <w:rFonts w:ascii="Traditional Arabic" w:hAnsi="Traditional Arabic" w:cs="Traditional Arabic"/>
          <w:sz w:val="26"/>
          <w:szCs w:val="26"/>
        </w:rPr>
        <w:t xml:space="preserve"> </w:t>
      </w:r>
    </w:p>
  </w:footnote>
  <w:footnote w:id="7">
    <w:p w:rsidR="00346919" w:rsidRPr="00DF0173" w:rsidRDefault="00346919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proofErr w:type="spellStart"/>
      <w:r>
        <w:rPr>
          <w:rFonts w:hint="cs"/>
          <w:rtl/>
        </w:rPr>
        <w:t>-</w:t>
      </w:r>
      <w:proofErr w:type="spellEnd"/>
      <w:r w:rsidRPr="00924632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نهلة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عمر عبد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الرحمن،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عقود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بوت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lang w:bidi="ar-DZ"/>
        </w:rPr>
        <w:t xml:space="preserve"> BOT 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وأث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رها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جذب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الاستثمار،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وزارة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النقل،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المنشأة العامة للطیران المدني، </w:t>
      </w:r>
      <w:r w:rsidRPr="00BA2E26">
        <w:rPr>
          <w:rFonts w:ascii="Traditional Arabic" w:hAnsi="Traditional Arabic" w:cs="Traditional Arabic"/>
          <w:sz w:val="28"/>
          <w:szCs w:val="28"/>
          <w:lang w:bidi="ar-DZ"/>
        </w:rPr>
        <w:t>: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الموقع على</w:t>
      </w:r>
      <w:r w:rsidRPr="00BA2E26">
        <w:rPr>
          <w:rFonts w:asciiTheme="majorBidi" w:hAnsiTheme="majorBidi" w:cstheme="majorBidi"/>
          <w:sz w:val="24"/>
          <w:szCs w:val="24"/>
          <w:rtl/>
          <w:lang w:bidi="ar-DZ"/>
        </w:rPr>
        <w:t xml:space="preserve">. </w:t>
      </w:r>
      <w:proofErr w:type="gramStart"/>
      <w:r w:rsidRPr="00BA2E26">
        <w:rPr>
          <w:rFonts w:asciiTheme="majorBidi" w:hAnsiTheme="majorBidi" w:cstheme="majorBidi"/>
          <w:sz w:val="24"/>
          <w:szCs w:val="24"/>
          <w:lang w:bidi="ar-DZ"/>
        </w:rPr>
        <w:t>www.motrans.gov.iq/research-mot1/conference/research/bot.pd</w:t>
      </w:r>
      <w:r w:rsidRPr="00BA2E26">
        <w:rPr>
          <w:rFonts w:ascii="Traditional Arabic" w:hAnsi="Traditional Arabic" w:cs="Traditional Arabic"/>
          <w:sz w:val="28"/>
          <w:szCs w:val="28"/>
          <w:lang w:bidi="ar-DZ"/>
        </w:rPr>
        <w:t>f</w:t>
      </w:r>
      <w:proofErr w:type="spellStart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أطلع عليه بتاريخ 12 أكتوبر 2020 على 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الساعة 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التاسعة صباحا</w:t>
      </w:r>
      <w:proofErr w:type="spellStart"/>
      <w:r>
        <w:rPr>
          <w:rFonts w:ascii="Traditional Arabic" w:hAnsi="Traditional Arabic" w:cs="Traditional Arabic" w:hint="cs"/>
          <w:sz w:val="26"/>
          <w:szCs w:val="26"/>
          <w:rtl/>
        </w:rPr>
        <w:t>.</w:t>
      </w:r>
      <w:proofErr w:type="spellEnd"/>
      <w:proofErr w:type="gramEnd"/>
      <w:r w:rsidRPr="00924632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</w:p>
  </w:footnote>
  <w:footnote w:id="8">
    <w:p w:rsidR="00346919" w:rsidRPr="001F7732" w:rsidRDefault="00346919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proofErr w:type="gram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جاء</w:t>
      </w:r>
      <w:proofErr w:type="gramEnd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هذا المرسوم التنفيذي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تطبيقا للمادتين 166 -167 من الأمر رقم 95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–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27 مؤرخ في 08 شعبان 1416 الموافق لـ 03 ديسمبر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1995،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المتضمن قانون المالية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1996،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ج.ر،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العدد</w:t>
      </w:r>
      <w:proofErr w:type="gram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82،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الصادر في 31 ديسمبر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1995،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ص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71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72.</w:t>
      </w:r>
      <w:r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</w:p>
  </w:footnote>
  <w:footnote w:id="9">
    <w:p w:rsidR="00346919" w:rsidRPr="00D222A5" w:rsidRDefault="00346919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مرسوم 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تنفيذي رقم 96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–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308 مؤرخ في 05 جمادى الأولى عام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1417،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الموافق لـ 18 سبتمبر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1996،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يتعلق بمنح امتيازات الطرق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السريعة،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ج.ر،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العدد</w:t>
      </w:r>
      <w:proofErr w:type="gram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55،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الصادر في 25 سبتمبر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1996،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 09.</w:t>
      </w:r>
    </w:p>
  </w:footnote>
  <w:footnote w:id="10">
    <w:p w:rsidR="00346919" w:rsidRPr="00D222A5" w:rsidRDefault="00346919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proofErr w:type="gramStart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قانون</w:t>
      </w:r>
      <w:proofErr w:type="gram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رقم 2000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–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05 مؤرخ في 10 رمضان عام 1421 الموافق لـ 06 ديسمبر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2000،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يعدل ويتمم القانون رقم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98-06 المؤرخ لـ 03 ربيع الأول عام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1419،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الموافق لـ 27 يونيو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1998،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الذي يحدد القواعد العامة المتعلقة بالطيران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المدني،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ج.ر،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العدد</w:t>
      </w:r>
      <w:proofErr w:type="gram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75،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الصادر في 10 ديسمبر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2000،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ص4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</w:footnote>
  <w:footnote w:id="11">
    <w:p w:rsidR="00346919" w:rsidRPr="00D222A5" w:rsidRDefault="00346919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proofErr w:type="gramStart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أمر</w:t>
      </w:r>
      <w:proofErr w:type="gram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رقم 03-10 مؤرخ في 14 جمادى الثانية 1424 الموافق لـ 13 غشت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2003،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يعدل ويتمم القانون رقم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98-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06 المؤرخ في 03 ربيع الأول 1419 الموافق لـ 27 يونيو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1998،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الذي يحدد القواعد العامة المتعلقة بالطيران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المدني،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ج.ر،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العدد</w:t>
      </w:r>
      <w:proofErr w:type="gram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48،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الصادر في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13 غشت </w:t>
      </w:r>
      <w:proofErr w:type="spell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2003،</w:t>
      </w:r>
      <w:proofErr w:type="spell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 5.</w:t>
      </w:r>
    </w:p>
  </w:footnote>
  <w:footnote w:id="12">
    <w:p w:rsidR="00346919" w:rsidRPr="001C77EE" w:rsidRDefault="00346919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القا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نون رقم 02-01 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مؤرّخ في 22 ذي القع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دة 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1422 </w:t>
      </w:r>
      <w:proofErr w:type="spellStart"/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الموافق5</w:t>
      </w:r>
      <w:proofErr w:type="spellEnd"/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فبرایر2002،</w:t>
      </w:r>
      <w:proofErr w:type="spellEnd"/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یتعلّق با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لكهرباء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وتوزیع الغاز بواسطة </w:t>
      </w:r>
      <w:proofErr w:type="spellStart"/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القنوات،</w:t>
      </w:r>
      <w:proofErr w:type="spellEnd"/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الجريدة </w:t>
      </w:r>
      <w:proofErr w:type="spellStart"/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الرسمية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العدد 8 ،الصاد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رة بتاريخ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6 </w:t>
      </w:r>
      <w:proofErr w:type="spellStart"/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فبرایر2002،</w:t>
      </w:r>
      <w:proofErr w:type="spellEnd"/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ص5</w:t>
      </w:r>
      <w:proofErr w:type="spellEnd"/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-7</w:t>
      </w:r>
    </w:p>
  </w:footnote>
  <w:footnote w:id="13">
    <w:p w:rsidR="00346919" w:rsidRPr="00757C5C" w:rsidRDefault="00346919" w:rsidP="006C46C6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Style w:val="Appelnotedebasdep"/>
        </w:rPr>
        <w:footnoteRef/>
      </w:r>
      <w:proofErr w:type="spellStart"/>
      <w:r>
        <w:rPr>
          <w:rFonts w:hint="cs"/>
          <w:rtl/>
        </w:rPr>
        <w:t>-</w:t>
      </w:r>
      <w:proofErr w:type="spellEnd"/>
      <w:r w:rsidRPr="009C08B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الق</w:t>
      </w:r>
      <w:r w:rsidRPr="009C08B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انون رقم 05-12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9C08B7">
        <w:rPr>
          <w:rFonts w:ascii="Traditional Arabic" w:hAnsi="Traditional Arabic" w:cs="Traditional Arabic"/>
          <w:sz w:val="28"/>
          <w:szCs w:val="28"/>
          <w:rtl/>
          <w:lang w:bidi="ar-DZ"/>
        </w:rPr>
        <w:t>مؤرّخ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</w:t>
      </w:r>
      <w:r w:rsidRPr="009C08B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28 جمادى الثانیة عام 1426 الموافق 04 غشت </w:t>
      </w:r>
      <w:proofErr w:type="spellStart"/>
      <w:r w:rsidRPr="009C08B7">
        <w:rPr>
          <w:rFonts w:ascii="Traditional Arabic" w:hAnsi="Traditional Arabic" w:cs="Traditional Arabic"/>
          <w:sz w:val="28"/>
          <w:szCs w:val="28"/>
          <w:rtl/>
          <w:lang w:bidi="ar-DZ"/>
        </w:rPr>
        <w:t>2005،</w:t>
      </w:r>
      <w:proofErr w:type="spellEnd"/>
      <w:r w:rsidRPr="009C08B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یتعلّق </w:t>
      </w:r>
      <w:proofErr w:type="spellStart"/>
      <w:r w:rsidRPr="009C08B7">
        <w:rPr>
          <w:rFonts w:ascii="Traditional Arabic" w:hAnsi="Traditional Arabic" w:cs="Traditional Arabic"/>
          <w:sz w:val="28"/>
          <w:szCs w:val="28"/>
          <w:rtl/>
          <w:lang w:bidi="ar-DZ"/>
        </w:rPr>
        <w:t>بالمیاه،</w:t>
      </w:r>
      <w:proofErr w:type="spellEnd"/>
      <w:r w:rsidRPr="009C08B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ج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ريدة </w:t>
      </w:r>
      <w:proofErr w:type="spellStart"/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ر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سمية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العدد 60 ،الصادر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ة بتاريخ 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04 سبتمبر </w:t>
      </w:r>
      <w:proofErr w:type="spellStart"/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2005،</w:t>
      </w:r>
      <w:proofErr w:type="spellEnd"/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ص6</w:t>
      </w:r>
      <w:proofErr w:type="spellEnd"/>
      <w:r w:rsidRPr="00757C5C">
        <w:rPr>
          <w:rFonts w:ascii="Traditional Arabic" w:hAnsi="Traditional Arabic" w:cs="Traditional Arabic"/>
          <w:sz w:val="28"/>
          <w:szCs w:val="28"/>
          <w:lang w:bidi="ar-DZ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hAnsi="Traditional Arabic" w:cs="Traditional Arabic"/>
        <w:b/>
        <w:bCs/>
        <w:sz w:val="36"/>
        <w:szCs w:val="36"/>
        <w:rtl/>
        <w:lang w:bidi="ar-DZ"/>
      </w:rPr>
      <w:alias w:val="Titre"/>
      <w:id w:val="1660387198"/>
      <w:placeholder>
        <w:docPart w:val="E2878ED727D74063B6EF260074871E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46919" w:rsidRPr="00F06539" w:rsidRDefault="00874BC7" w:rsidP="00874BC7">
        <w:pPr>
          <w:pStyle w:val="En-tte"/>
          <w:pBdr>
            <w:bottom w:val="thickThinSmallGap" w:sz="24" w:space="1" w:color="823B0B" w:themeColor="accent2" w:themeShade="7F"/>
          </w:pBdr>
          <w:jc w:val="both"/>
          <w:rPr>
            <w:rFonts w:ascii="Simplified Arabic" w:eastAsiaTheme="majorEastAsia" w:hAnsi="Simplified Arabic" w:cs="Simplified Arabic"/>
            <w:b/>
            <w:bCs/>
            <w:sz w:val="24"/>
            <w:szCs w:val="24"/>
          </w:rPr>
        </w:pPr>
        <w:r>
          <w:rPr>
            <w:rFonts w:ascii="Traditional Arabic" w:hAnsi="Traditional Arabic" w:cs="Traditional Arabic" w:hint="cs"/>
            <w:b/>
            <w:bCs/>
            <w:sz w:val="36"/>
            <w:szCs w:val="36"/>
            <w:rtl/>
            <w:lang w:bidi="ar-DZ"/>
          </w:rPr>
          <w:t xml:space="preserve">محاضرات عقود الأعمال </w:t>
        </w:r>
        <w:proofErr w:type="spellStart"/>
        <w:r>
          <w:rPr>
            <w:rFonts w:ascii="Traditional Arabic" w:hAnsi="Traditional Arabic" w:cs="Traditional Arabic" w:hint="cs"/>
            <w:b/>
            <w:bCs/>
            <w:sz w:val="36"/>
            <w:szCs w:val="36"/>
            <w:rtl/>
            <w:lang w:bidi="ar-DZ"/>
          </w:rPr>
          <w:t>"</w:t>
        </w:r>
        <w:proofErr w:type="spellEnd"/>
        <w:r>
          <w:rPr>
            <w:rFonts w:ascii="Traditional Arabic" w:hAnsi="Traditional Arabic" w:cs="Traditional Arabic" w:hint="cs"/>
            <w:b/>
            <w:bCs/>
            <w:sz w:val="36"/>
            <w:szCs w:val="36"/>
            <w:rtl/>
            <w:lang w:bidi="ar-DZ"/>
          </w:rPr>
          <w:t xml:space="preserve"> عقد </w:t>
        </w:r>
        <w:proofErr w:type="spellStart"/>
        <w:r>
          <w:rPr>
            <w:rFonts w:ascii="Traditional Arabic" w:hAnsi="Traditional Arabic" w:cs="Traditional Arabic" w:hint="cs"/>
            <w:b/>
            <w:bCs/>
            <w:sz w:val="36"/>
            <w:szCs w:val="36"/>
            <w:rtl/>
            <w:lang w:bidi="ar-DZ"/>
          </w:rPr>
          <w:t>البوت"</w:t>
        </w:r>
        <w:proofErr w:type="spellEnd"/>
        <w:r>
          <w:rPr>
            <w:rFonts w:ascii="Traditional Arabic" w:hAnsi="Traditional Arabic" w:cs="Traditional Arabic" w:hint="cs"/>
            <w:b/>
            <w:bCs/>
            <w:sz w:val="36"/>
            <w:szCs w:val="36"/>
            <w:rtl/>
            <w:lang w:bidi="ar-DZ"/>
          </w:rPr>
          <w:t xml:space="preserve">                                           د.</w:t>
        </w:r>
        <w:proofErr w:type="spellStart"/>
        <w:r>
          <w:rPr>
            <w:rFonts w:ascii="Traditional Arabic" w:hAnsi="Traditional Arabic" w:cs="Traditional Arabic" w:hint="cs"/>
            <w:b/>
            <w:bCs/>
            <w:sz w:val="36"/>
            <w:szCs w:val="36"/>
            <w:rtl/>
            <w:lang w:bidi="ar-DZ"/>
          </w:rPr>
          <w:t>عبدلي</w:t>
        </w:r>
        <w:proofErr w:type="spellEnd"/>
        <w:r>
          <w:rPr>
            <w:rFonts w:ascii="Traditional Arabic" w:hAnsi="Traditional Arabic" w:cs="Traditional Arabic" w:hint="cs"/>
            <w:b/>
            <w:bCs/>
            <w:sz w:val="36"/>
            <w:szCs w:val="36"/>
            <w:rtl/>
            <w:lang w:bidi="ar-DZ"/>
          </w:rPr>
          <w:t xml:space="preserve"> نزار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768"/>
    <w:multiLevelType w:val="hybridMultilevel"/>
    <w:tmpl w:val="D376E3FE"/>
    <w:lvl w:ilvl="0" w:tplc="7E1C5A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D529E"/>
    <w:multiLevelType w:val="hybridMultilevel"/>
    <w:tmpl w:val="6B34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81854"/>
    <w:multiLevelType w:val="hybridMultilevel"/>
    <w:tmpl w:val="EB0479B8"/>
    <w:lvl w:ilvl="0" w:tplc="7B1099C8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0FE1"/>
    <w:multiLevelType w:val="multilevel"/>
    <w:tmpl w:val="F5AA0C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09177384"/>
    <w:multiLevelType w:val="hybridMultilevel"/>
    <w:tmpl w:val="86562C2E"/>
    <w:lvl w:ilvl="0" w:tplc="9028D3D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787011"/>
    <w:multiLevelType w:val="hybridMultilevel"/>
    <w:tmpl w:val="185E25C6"/>
    <w:lvl w:ilvl="0" w:tplc="5096E5E4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12329"/>
    <w:multiLevelType w:val="multilevel"/>
    <w:tmpl w:val="2A7A1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color w:val="1F4D78" w:themeColor="accent1" w:themeShade="7F"/>
      </w:rPr>
    </w:lvl>
    <w:lvl w:ilvl="2">
      <w:start w:val="2"/>
      <w:numFmt w:val="arabicAlpha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1C22CB"/>
    <w:multiLevelType w:val="multilevel"/>
    <w:tmpl w:val="E764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89567B"/>
    <w:multiLevelType w:val="multilevel"/>
    <w:tmpl w:val="DA72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061ADE"/>
    <w:multiLevelType w:val="hybridMultilevel"/>
    <w:tmpl w:val="28AE05B0"/>
    <w:lvl w:ilvl="0" w:tplc="502E7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E1CCE"/>
    <w:multiLevelType w:val="hybridMultilevel"/>
    <w:tmpl w:val="78DE7002"/>
    <w:lvl w:ilvl="0" w:tplc="21004F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A2C32"/>
    <w:multiLevelType w:val="hybridMultilevel"/>
    <w:tmpl w:val="2CF2A63A"/>
    <w:lvl w:ilvl="0" w:tplc="9DBE196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DF627E"/>
    <w:multiLevelType w:val="hybridMultilevel"/>
    <w:tmpl w:val="D35024B0"/>
    <w:lvl w:ilvl="0" w:tplc="198C8A86">
      <w:numFmt w:val="bullet"/>
      <w:lvlText w:val="-"/>
      <w:lvlJc w:val="left"/>
      <w:pPr>
        <w:ind w:left="720" w:hanging="360"/>
      </w:pPr>
      <w:rPr>
        <w:rFonts w:ascii="Amiri" w:eastAsiaTheme="minorHAnsi" w:hAnsi="Amiri" w:cs="Ami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D191F"/>
    <w:multiLevelType w:val="hybridMultilevel"/>
    <w:tmpl w:val="A82AF4FE"/>
    <w:lvl w:ilvl="0" w:tplc="B6AC83B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72769"/>
    <w:multiLevelType w:val="multilevel"/>
    <w:tmpl w:val="5B7E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3173EA"/>
    <w:multiLevelType w:val="hybridMultilevel"/>
    <w:tmpl w:val="51686A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682B21"/>
    <w:multiLevelType w:val="hybridMultilevel"/>
    <w:tmpl w:val="0FD480DE"/>
    <w:lvl w:ilvl="0" w:tplc="B394B4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A3C7345"/>
    <w:multiLevelType w:val="hybridMultilevel"/>
    <w:tmpl w:val="EB64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67B93"/>
    <w:multiLevelType w:val="hybridMultilevel"/>
    <w:tmpl w:val="F45C00DC"/>
    <w:lvl w:ilvl="0" w:tplc="59C656B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776F1F"/>
    <w:multiLevelType w:val="hybridMultilevel"/>
    <w:tmpl w:val="BC8CE99E"/>
    <w:lvl w:ilvl="0" w:tplc="94AC08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1775C3"/>
    <w:multiLevelType w:val="hybridMultilevel"/>
    <w:tmpl w:val="BB58B5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4336C"/>
    <w:multiLevelType w:val="hybridMultilevel"/>
    <w:tmpl w:val="68F62E92"/>
    <w:lvl w:ilvl="0" w:tplc="370E88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23D17"/>
    <w:multiLevelType w:val="hybridMultilevel"/>
    <w:tmpl w:val="9D321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F0550"/>
    <w:multiLevelType w:val="multilevel"/>
    <w:tmpl w:val="F794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7935BC"/>
    <w:multiLevelType w:val="multilevel"/>
    <w:tmpl w:val="49DA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8E7CC2"/>
    <w:multiLevelType w:val="hybridMultilevel"/>
    <w:tmpl w:val="A9A6C6E2"/>
    <w:lvl w:ilvl="0" w:tplc="3E9676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EF0F58"/>
    <w:multiLevelType w:val="hybridMultilevel"/>
    <w:tmpl w:val="8D600886"/>
    <w:lvl w:ilvl="0" w:tplc="8FB81470">
      <w:start w:val="1"/>
      <w:numFmt w:val="arabicAlpha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E047D"/>
    <w:multiLevelType w:val="hybridMultilevel"/>
    <w:tmpl w:val="D2E66B04"/>
    <w:lvl w:ilvl="0" w:tplc="0B72860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60059"/>
    <w:multiLevelType w:val="hybridMultilevel"/>
    <w:tmpl w:val="3C32B884"/>
    <w:lvl w:ilvl="0" w:tplc="C90C78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3458E7"/>
    <w:multiLevelType w:val="hybridMultilevel"/>
    <w:tmpl w:val="101E99EE"/>
    <w:lvl w:ilvl="0" w:tplc="CB1A1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76C4A"/>
    <w:multiLevelType w:val="multilevel"/>
    <w:tmpl w:val="1E8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AE02E1"/>
    <w:multiLevelType w:val="multilevel"/>
    <w:tmpl w:val="4EF0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25555F"/>
    <w:multiLevelType w:val="hybridMultilevel"/>
    <w:tmpl w:val="44E2EA04"/>
    <w:lvl w:ilvl="0" w:tplc="E0FA90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E3BD0"/>
    <w:multiLevelType w:val="hybridMultilevel"/>
    <w:tmpl w:val="26862D84"/>
    <w:lvl w:ilvl="0" w:tplc="DB2CA9F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16"/>
  </w:num>
  <w:num w:numId="4">
    <w:abstractNumId w:val="18"/>
  </w:num>
  <w:num w:numId="5">
    <w:abstractNumId w:val="28"/>
  </w:num>
  <w:num w:numId="6">
    <w:abstractNumId w:val="12"/>
  </w:num>
  <w:num w:numId="7">
    <w:abstractNumId w:val="22"/>
  </w:num>
  <w:num w:numId="8">
    <w:abstractNumId w:val="4"/>
  </w:num>
  <w:num w:numId="9">
    <w:abstractNumId w:val="19"/>
  </w:num>
  <w:num w:numId="10">
    <w:abstractNumId w:val="25"/>
  </w:num>
  <w:num w:numId="11">
    <w:abstractNumId w:val="17"/>
  </w:num>
  <w:num w:numId="12">
    <w:abstractNumId w:val="10"/>
  </w:num>
  <w:num w:numId="13">
    <w:abstractNumId w:val="0"/>
  </w:num>
  <w:num w:numId="14">
    <w:abstractNumId w:val="5"/>
  </w:num>
  <w:num w:numId="15">
    <w:abstractNumId w:val="29"/>
  </w:num>
  <w:num w:numId="16">
    <w:abstractNumId w:val="11"/>
  </w:num>
  <w:num w:numId="17">
    <w:abstractNumId w:val="21"/>
  </w:num>
  <w:num w:numId="18">
    <w:abstractNumId w:val="9"/>
  </w:num>
  <w:num w:numId="19">
    <w:abstractNumId w:val="13"/>
  </w:num>
  <w:num w:numId="20">
    <w:abstractNumId w:val="26"/>
  </w:num>
  <w:num w:numId="21">
    <w:abstractNumId w:val="8"/>
  </w:num>
  <w:num w:numId="22">
    <w:abstractNumId w:val="31"/>
  </w:num>
  <w:num w:numId="23">
    <w:abstractNumId w:val="14"/>
  </w:num>
  <w:num w:numId="24">
    <w:abstractNumId w:val="6"/>
  </w:num>
  <w:num w:numId="25">
    <w:abstractNumId w:val="23"/>
  </w:num>
  <w:num w:numId="26">
    <w:abstractNumId w:val="30"/>
  </w:num>
  <w:num w:numId="27">
    <w:abstractNumId w:val="3"/>
  </w:num>
  <w:num w:numId="28">
    <w:abstractNumId w:val="1"/>
  </w:num>
  <w:num w:numId="29">
    <w:abstractNumId w:val="2"/>
  </w:num>
  <w:num w:numId="30">
    <w:abstractNumId w:val="15"/>
  </w:num>
  <w:num w:numId="31">
    <w:abstractNumId w:val="20"/>
  </w:num>
  <w:num w:numId="32">
    <w:abstractNumId w:val="24"/>
  </w:num>
  <w:num w:numId="33">
    <w:abstractNumId w:val="7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A61F2"/>
    <w:rsid w:val="0001542B"/>
    <w:rsid w:val="000266A1"/>
    <w:rsid w:val="0003091D"/>
    <w:rsid w:val="00051765"/>
    <w:rsid w:val="00053EA8"/>
    <w:rsid w:val="000546EB"/>
    <w:rsid w:val="00057AEB"/>
    <w:rsid w:val="0008694F"/>
    <w:rsid w:val="00091566"/>
    <w:rsid w:val="000B6CBD"/>
    <w:rsid w:val="000D12F7"/>
    <w:rsid w:val="000D4F6B"/>
    <w:rsid w:val="001041A6"/>
    <w:rsid w:val="001067FE"/>
    <w:rsid w:val="00114747"/>
    <w:rsid w:val="001257F2"/>
    <w:rsid w:val="00190738"/>
    <w:rsid w:val="0019262F"/>
    <w:rsid w:val="001C0613"/>
    <w:rsid w:val="001C24BA"/>
    <w:rsid w:val="001E00E5"/>
    <w:rsid w:val="00201D7F"/>
    <w:rsid w:val="00206761"/>
    <w:rsid w:val="002139C1"/>
    <w:rsid w:val="00215312"/>
    <w:rsid w:val="00227D06"/>
    <w:rsid w:val="00246A22"/>
    <w:rsid w:val="0024735B"/>
    <w:rsid w:val="002556FF"/>
    <w:rsid w:val="00261803"/>
    <w:rsid w:val="00265182"/>
    <w:rsid w:val="00294399"/>
    <w:rsid w:val="002A4223"/>
    <w:rsid w:val="002D1629"/>
    <w:rsid w:val="002E5092"/>
    <w:rsid w:val="002F0F04"/>
    <w:rsid w:val="00304E1E"/>
    <w:rsid w:val="003159AD"/>
    <w:rsid w:val="00322238"/>
    <w:rsid w:val="00323558"/>
    <w:rsid w:val="00340D1F"/>
    <w:rsid w:val="00345117"/>
    <w:rsid w:val="00346919"/>
    <w:rsid w:val="00357909"/>
    <w:rsid w:val="0039425D"/>
    <w:rsid w:val="003E08EA"/>
    <w:rsid w:val="003F2802"/>
    <w:rsid w:val="00424EBC"/>
    <w:rsid w:val="0043239F"/>
    <w:rsid w:val="004A496F"/>
    <w:rsid w:val="004F0349"/>
    <w:rsid w:val="00510629"/>
    <w:rsid w:val="00517852"/>
    <w:rsid w:val="005376B1"/>
    <w:rsid w:val="00561882"/>
    <w:rsid w:val="005702BA"/>
    <w:rsid w:val="00571F40"/>
    <w:rsid w:val="00592583"/>
    <w:rsid w:val="005C5CC3"/>
    <w:rsid w:val="005D1056"/>
    <w:rsid w:val="005F0151"/>
    <w:rsid w:val="00600FCF"/>
    <w:rsid w:val="00644D04"/>
    <w:rsid w:val="0068730A"/>
    <w:rsid w:val="006C000B"/>
    <w:rsid w:val="006C46C6"/>
    <w:rsid w:val="006D16B0"/>
    <w:rsid w:val="006D30A6"/>
    <w:rsid w:val="006D7C5A"/>
    <w:rsid w:val="006E1F12"/>
    <w:rsid w:val="00710741"/>
    <w:rsid w:val="00736657"/>
    <w:rsid w:val="00742EF0"/>
    <w:rsid w:val="00743695"/>
    <w:rsid w:val="00766E43"/>
    <w:rsid w:val="00794A09"/>
    <w:rsid w:val="007A4BD6"/>
    <w:rsid w:val="007A5BFA"/>
    <w:rsid w:val="007A692E"/>
    <w:rsid w:val="007B1CCA"/>
    <w:rsid w:val="007C4051"/>
    <w:rsid w:val="007C4112"/>
    <w:rsid w:val="007C44B0"/>
    <w:rsid w:val="007F337B"/>
    <w:rsid w:val="0083288D"/>
    <w:rsid w:val="00842792"/>
    <w:rsid w:val="00853929"/>
    <w:rsid w:val="00861FCD"/>
    <w:rsid w:val="00863DA3"/>
    <w:rsid w:val="00874BC7"/>
    <w:rsid w:val="008915B8"/>
    <w:rsid w:val="008A2559"/>
    <w:rsid w:val="008A40FD"/>
    <w:rsid w:val="008A44A3"/>
    <w:rsid w:val="008A6C86"/>
    <w:rsid w:val="008B28A5"/>
    <w:rsid w:val="008D7F08"/>
    <w:rsid w:val="00906DF5"/>
    <w:rsid w:val="0093751B"/>
    <w:rsid w:val="0095342F"/>
    <w:rsid w:val="009833A5"/>
    <w:rsid w:val="009840C4"/>
    <w:rsid w:val="00984D89"/>
    <w:rsid w:val="00991E25"/>
    <w:rsid w:val="00997363"/>
    <w:rsid w:val="009B046D"/>
    <w:rsid w:val="009B16E4"/>
    <w:rsid w:val="009C1932"/>
    <w:rsid w:val="009C6458"/>
    <w:rsid w:val="009D2004"/>
    <w:rsid w:val="009D5750"/>
    <w:rsid w:val="009E2828"/>
    <w:rsid w:val="009E4836"/>
    <w:rsid w:val="009E58C3"/>
    <w:rsid w:val="00A050D3"/>
    <w:rsid w:val="00A3427B"/>
    <w:rsid w:val="00A3632E"/>
    <w:rsid w:val="00A41305"/>
    <w:rsid w:val="00A50336"/>
    <w:rsid w:val="00A66146"/>
    <w:rsid w:val="00A829EC"/>
    <w:rsid w:val="00A97A0E"/>
    <w:rsid w:val="00AA4ED8"/>
    <w:rsid w:val="00AD7D62"/>
    <w:rsid w:val="00B029F3"/>
    <w:rsid w:val="00B2134F"/>
    <w:rsid w:val="00B43237"/>
    <w:rsid w:val="00B81B1A"/>
    <w:rsid w:val="00BA23E3"/>
    <w:rsid w:val="00BD40B5"/>
    <w:rsid w:val="00BD647C"/>
    <w:rsid w:val="00BF5A26"/>
    <w:rsid w:val="00C076A6"/>
    <w:rsid w:val="00C252E5"/>
    <w:rsid w:val="00C4791B"/>
    <w:rsid w:val="00C6677D"/>
    <w:rsid w:val="00C7616D"/>
    <w:rsid w:val="00C8305E"/>
    <w:rsid w:val="00CD0E54"/>
    <w:rsid w:val="00CD23BC"/>
    <w:rsid w:val="00CD7273"/>
    <w:rsid w:val="00CD7C08"/>
    <w:rsid w:val="00CF0B23"/>
    <w:rsid w:val="00CF72F6"/>
    <w:rsid w:val="00D05A9F"/>
    <w:rsid w:val="00D079B8"/>
    <w:rsid w:val="00D36007"/>
    <w:rsid w:val="00D44C8D"/>
    <w:rsid w:val="00D87719"/>
    <w:rsid w:val="00D94254"/>
    <w:rsid w:val="00DA48F8"/>
    <w:rsid w:val="00DA7E34"/>
    <w:rsid w:val="00DB4E73"/>
    <w:rsid w:val="00DE1D4F"/>
    <w:rsid w:val="00DE3E01"/>
    <w:rsid w:val="00DF0E84"/>
    <w:rsid w:val="00E1498F"/>
    <w:rsid w:val="00E57EAC"/>
    <w:rsid w:val="00E9115D"/>
    <w:rsid w:val="00E9438E"/>
    <w:rsid w:val="00EA2DB0"/>
    <w:rsid w:val="00EA75D0"/>
    <w:rsid w:val="00EC3239"/>
    <w:rsid w:val="00EC7C68"/>
    <w:rsid w:val="00EF46A2"/>
    <w:rsid w:val="00F1168D"/>
    <w:rsid w:val="00F11EE3"/>
    <w:rsid w:val="00F30CED"/>
    <w:rsid w:val="00F45076"/>
    <w:rsid w:val="00F47F28"/>
    <w:rsid w:val="00F66044"/>
    <w:rsid w:val="00F67825"/>
    <w:rsid w:val="00F727C6"/>
    <w:rsid w:val="00F83C2F"/>
    <w:rsid w:val="00F961E1"/>
    <w:rsid w:val="00F9794A"/>
    <w:rsid w:val="00F97DA4"/>
    <w:rsid w:val="00FA366A"/>
    <w:rsid w:val="00FA61F2"/>
    <w:rsid w:val="00FA66C3"/>
    <w:rsid w:val="00FC1075"/>
    <w:rsid w:val="00FC2967"/>
    <w:rsid w:val="00FC5B87"/>
    <w:rsid w:val="00FF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F2"/>
    <w:pPr>
      <w:bidi/>
      <w:spacing w:after="0" w:line="240" w:lineRule="auto"/>
    </w:pPr>
    <w:rPr>
      <w:rFonts w:ascii="Adrianne" w:eastAsia="Times New Roman" w:hAnsi="Adrianne" w:cs="Times New Roman"/>
      <w:sz w:val="44"/>
      <w:szCs w:val="4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C46C6"/>
    <w:pPr>
      <w:keepNext/>
      <w:keepLines/>
      <w:bidi w:val="0"/>
      <w:spacing w:before="480"/>
      <w:jc w:val="righ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FR" w:eastAsia="zh-CN"/>
    </w:rPr>
  </w:style>
  <w:style w:type="paragraph" w:styleId="Titre2">
    <w:name w:val="heading 2"/>
    <w:basedOn w:val="Normal"/>
    <w:next w:val="Normal"/>
    <w:link w:val="Titre2Car"/>
    <w:unhideWhenUsed/>
    <w:qFormat/>
    <w:rsid w:val="006C46C6"/>
    <w:pPr>
      <w:keepNext/>
      <w:keepLines/>
      <w:bidi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paragraph" w:styleId="Titre3">
    <w:name w:val="heading 3"/>
    <w:basedOn w:val="Normal"/>
    <w:link w:val="Titre3Car"/>
    <w:uiPriority w:val="9"/>
    <w:qFormat/>
    <w:rsid w:val="006C46C6"/>
    <w:pPr>
      <w:bidi w:val="0"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6C46C6"/>
    <w:pPr>
      <w:bidi w:val="0"/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C46C6"/>
    <w:pPr>
      <w:keepNext/>
      <w:keepLines/>
      <w:bidi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FA61F2"/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A61F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rsid w:val="00FA61F2"/>
    <w:rPr>
      <w:vertAlign w:val="superscript"/>
    </w:rPr>
  </w:style>
  <w:style w:type="character" w:styleId="lev">
    <w:name w:val="Strong"/>
    <w:basedOn w:val="Policepardfaut"/>
    <w:uiPriority w:val="22"/>
    <w:qFormat/>
    <w:rsid w:val="00FA61F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A61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61F2"/>
    <w:rPr>
      <w:rFonts w:ascii="Adrianne" w:eastAsia="Times New Roman" w:hAnsi="Adrianne" w:cs="Times New Roman"/>
      <w:sz w:val="44"/>
      <w:szCs w:val="4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A61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61F2"/>
    <w:rPr>
      <w:rFonts w:ascii="Adrianne" w:eastAsia="Times New Roman" w:hAnsi="Adrianne" w:cs="Times New Roman"/>
      <w:sz w:val="44"/>
      <w:szCs w:val="44"/>
      <w:lang w:val="en-US"/>
    </w:rPr>
  </w:style>
  <w:style w:type="character" w:styleId="Lienhypertexte">
    <w:name w:val="Hyperlink"/>
    <w:basedOn w:val="Policepardfaut"/>
    <w:uiPriority w:val="99"/>
    <w:unhideWhenUsed/>
    <w:rsid w:val="00EA2DB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08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8E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C46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Titre2Car">
    <w:name w:val="Titre 2 Car"/>
    <w:basedOn w:val="Policepardfaut"/>
    <w:link w:val="Titre2"/>
    <w:rsid w:val="006C46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C46C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C46C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C46C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aragraphedeliste">
    <w:name w:val="List Paragraph"/>
    <w:basedOn w:val="Normal"/>
    <w:link w:val="ParagraphedelisteCar"/>
    <w:uiPriority w:val="34"/>
    <w:qFormat/>
    <w:rsid w:val="006C46C6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styleId="NormalWeb">
    <w:name w:val="Normal (Web)"/>
    <w:basedOn w:val="Normal"/>
    <w:uiPriority w:val="99"/>
    <w:unhideWhenUsed/>
    <w:rsid w:val="006C46C6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styleId="Notedefin">
    <w:name w:val="endnote text"/>
    <w:basedOn w:val="Normal"/>
    <w:link w:val="NotedefinCar"/>
    <w:uiPriority w:val="99"/>
    <w:rsid w:val="006C46C6"/>
    <w:pPr>
      <w:bidi w:val="0"/>
      <w:jc w:val="right"/>
    </w:pPr>
    <w:rPr>
      <w:rFonts w:ascii="Times New Roman" w:eastAsia="SimSun" w:hAnsi="Times New Roman"/>
      <w:sz w:val="20"/>
      <w:szCs w:val="20"/>
      <w:lang w:val="fr-FR" w:eastAsia="zh-CN"/>
    </w:rPr>
  </w:style>
  <w:style w:type="character" w:customStyle="1" w:styleId="NotedefinCar">
    <w:name w:val="Note de fin Car"/>
    <w:basedOn w:val="Policepardfaut"/>
    <w:link w:val="Notedefin"/>
    <w:uiPriority w:val="99"/>
    <w:rsid w:val="006C46C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rpsdetexte">
    <w:name w:val="Body Text"/>
    <w:basedOn w:val="Normal"/>
    <w:link w:val="CorpsdetexteCar"/>
    <w:uiPriority w:val="99"/>
    <w:rsid w:val="006C46C6"/>
    <w:pPr>
      <w:jc w:val="center"/>
    </w:pPr>
    <w:rPr>
      <w:rFonts w:ascii="Times New Roman" w:hAnsi="Times New Roman"/>
      <w:b/>
      <w:sz w:val="96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6C46C6"/>
    <w:rPr>
      <w:rFonts w:ascii="Times New Roman" w:eastAsia="Times New Roman" w:hAnsi="Times New Roman" w:cs="Times New Roman"/>
      <w:b/>
      <w:sz w:val="96"/>
      <w:szCs w:val="20"/>
      <w:lang w:eastAsia="fr-FR"/>
    </w:rPr>
  </w:style>
  <w:style w:type="character" w:styleId="Appeldenotedefin">
    <w:name w:val="endnote reference"/>
    <w:uiPriority w:val="99"/>
    <w:unhideWhenUsed/>
    <w:rsid w:val="006C46C6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C46C6"/>
  </w:style>
  <w:style w:type="character" w:customStyle="1" w:styleId="a-size-extra-large">
    <w:name w:val="a-size-extra-large"/>
    <w:basedOn w:val="Policepardfaut"/>
    <w:rsid w:val="006C4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878ED727D74063B6EF260074871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F707B-5E60-4B37-B33D-489F9F12792E}"/>
      </w:docPartPr>
      <w:docPartBody>
        <w:p w:rsidR="00BA482F" w:rsidRDefault="007130F6" w:rsidP="007130F6">
          <w:pPr>
            <w:pStyle w:val="E2878ED727D74063B6EF260074871E7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iri">
    <w:altName w:val="Courier New"/>
    <w:charset w:val="00"/>
    <w:family w:val="auto"/>
    <w:pitch w:val="variable"/>
    <w:sig w:usb0="00000000" w:usb1="C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130F6"/>
    <w:rsid w:val="0008340C"/>
    <w:rsid w:val="00174E7A"/>
    <w:rsid w:val="00176019"/>
    <w:rsid w:val="001E3C04"/>
    <w:rsid w:val="00386E54"/>
    <w:rsid w:val="003E7C32"/>
    <w:rsid w:val="005E6D57"/>
    <w:rsid w:val="007130F6"/>
    <w:rsid w:val="007375E0"/>
    <w:rsid w:val="008C160E"/>
    <w:rsid w:val="008D3402"/>
    <w:rsid w:val="00A0749E"/>
    <w:rsid w:val="00AC572D"/>
    <w:rsid w:val="00B67D20"/>
    <w:rsid w:val="00BA482F"/>
    <w:rsid w:val="00C166F7"/>
    <w:rsid w:val="00C24993"/>
    <w:rsid w:val="00C560E2"/>
    <w:rsid w:val="00D76C98"/>
    <w:rsid w:val="00D91DC5"/>
    <w:rsid w:val="00DA279E"/>
    <w:rsid w:val="00DB758E"/>
    <w:rsid w:val="00EB37C9"/>
    <w:rsid w:val="00EB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2878ED727D74063B6EF260074871E73">
    <w:name w:val="E2878ED727D74063B6EF260074871E73"/>
    <w:rsid w:val="007130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2FD9B-BCD2-4765-ABCE-36842DEB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1064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الباب الأول: عقد البناء، التشغيل ونقل الملكية "البوت "</vt:lpstr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عقود الأعمال " عقد البوت"                                           د.عبدلي نزار</dc:title>
  <dc:creator>ASUS vPro</dc:creator>
  <cp:lastModifiedBy>Acer</cp:lastModifiedBy>
  <cp:revision>6</cp:revision>
  <cp:lastPrinted>2021-04-28T15:50:00Z</cp:lastPrinted>
  <dcterms:created xsi:type="dcterms:W3CDTF">2023-10-22T17:42:00Z</dcterms:created>
  <dcterms:modified xsi:type="dcterms:W3CDTF">2024-11-05T14:02:00Z</dcterms:modified>
</cp:coreProperties>
</file>