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ظهر عقد البناء والتشغيل ونقل الملكية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 ما يصطلح عليه بـ "</w:t>
      </w:r>
      <w:r w:rsidRPr="00A0577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عقد </w:t>
      </w:r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كأحد أساليب التنمية التي تسمح بمشاركة القطاع الخاص في المشاريع العمومية التي تضمن للدولة السيطرة </w:t>
      </w:r>
      <w:r w:rsidRPr="00ED66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الإستراتيجية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مشاريع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ها</w:t>
      </w:r>
      <w:r w:rsidRPr="001C5979">
        <w:rPr>
          <w:rStyle w:val="Appelnotedebasdep"/>
          <w:rFonts w:ascii="Traditional Arabic" w:hAnsi="Traditional Arabic" w:cs="Traditional Arabic"/>
          <w:color w:val="FFFFFF" w:themeColor="background1"/>
          <w:sz w:val="36"/>
          <w:szCs w:val="36"/>
          <w:lang w:bidi="ar-DZ"/>
        </w:rPr>
        <w:footnoteReference w:customMarkFollows="1" w:id="1"/>
        <w:t>(</w:t>
      </w:r>
      <w:r w:rsidRPr="00ED6632">
        <w:rPr>
          <w:rStyle w:val="Appelnotedebasdep"/>
          <w:rFonts w:ascii="Traditional Arabic" w:hAnsi="Traditional Arabic" w:cs="Traditional Arabic"/>
          <w:sz w:val="36"/>
          <w:szCs w:val="36"/>
          <w:lang w:bidi="ar-DZ"/>
        </w:rPr>
        <w:t>1</w:t>
      </w:r>
      <w:r w:rsidRPr="001C5979">
        <w:rPr>
          <w:rStyle w:val="Appelnotedebasdep"/>
          <w:rFonts w:ascii="Traditional Arabic" w:hAnsi="Traditional Arabic" w:cs="Traditional Arabic"/>
          <w:color w:val="FFFFFF" w:themeColor="background1"/>
          <w:sz w:val="36"/>
          <w:szCs w:val="36"/>
          <w:lang w:bidi="ar-DZ"/>
        </w:rPr>
        <w:t>)</w:t>
      </w:r>
      <w:r w:rsidRPr="00257362"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571F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وللتعرف أكثر على هذا العقد سوف نتطرق للاطار العام لهذا العقد في</w:t>
      </w:r>
      <w:r w:rsidRPr="00571F40">
        <w:rPr>
          <w:rFonts w:hint="cs"/>
          <w:rtl/>
        </w:rPr>
        <w:t xml:space="preserve"> </w:t>
      </w:r>
      <w:r w:rsidRPr="00571F4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الفصل الأول</w:t>
      </w:r>
      <w:r w:rsidRPr="00571F40">
        <w:rPr>
          <w:rFonts w:hint="cs"/>
          <w:rtl/>
        </w:rPr>
        <w:t xml:space="preserve"> </w:t>
      </w:r>
      <w:r w:rsidRPr="00571F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ونتناول</w:t>
      </w:r>
      <w:r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66C22">
        <w:rPr>
          <w:rFonts w:ascii="Traditional Arabic" w:hAnsi="Traditional Arabic" w:cs="Traditional Arabic"/>
          <w:sz w:val="36"/>
          <w:szCs w:val="36"/>
          <w:rtl/>
          <w:lang w:bidi="ar-DZ"/>
        </w:rPr>
        <w:t>النظام القانوني لعقد البناء والتشغيل ونقل الملكية</w:t>
      </w:r>
      <w:r w:rsidRPr="00B66C2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 </w:t>
      </w:r>
      <w:r w:rsidRPr="00B66C22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r w:rsidRPr="00B66C2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66C22">
        <w:rPr>
          <w:rFonts w:asciiTheme="majorBidi" w:hAnsiTheme="majorBidi" w:cstheme="majorBidi"/>
          <w:sz w:val="28"/>
          <w:szCs w:val="28"/>
          <w:lang w:bidi="ar-DZ"/>
        </w:rPr>
        <w:t>BOT</w:t>
      </w:r>
      <w:r w:rsidRPr="00B66C2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الفصل الثاني.</w:t>
      </w:r>
      <w:r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الفصل الأول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الإطار العام 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عقد البناء والتشغيل ونقل الملكية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>يعد 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البوت </w:t>
      </w:r>
      <w:r w:rsidRPr="00B66C22">
        <w:rPr>
          <w:rFonts w:asciiTheme="majorBidi" w:hAnsiTheme="majorBidi" w:cstheme="majorBidi"/>
          <w:sz w:val="28"/>
          <w:szCs w:val="28"/>
          <w:lang w:bidi="ar-DZ"/>
        </w:rPr>
        <w:t>BOT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</w:t>
      </w:r>
      <w:r w:rsidRPr="00ED66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أهم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ED66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الآليات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المستحدثة </w:t>
      </w:r>
      <w:r w:rsidRPr="00ED663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للاستثمار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قطاع البنية التحتية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>لدول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تأتي هذه الأهمية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>اعتباره النموذج التعاقدي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>صلح لتنفيذ المشاريع الاستثمارية المتعلق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ة بالبناء والتشغيل ونقل الملكية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التي تسعى الدولة لإنشائها وترقيتها وتطويرها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وبموجبه يقوم المستثمر سواء كان محليا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>جنبيا بتمويل</w:t>
      </w:r>
      <w:r w:rsidR="00F1168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بناء وتشغيل مشاريع البنية التحتية خلال فترة معينة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الالتزام بإ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عادتها في نهاية المدة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>لى الدولة دون مقابل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C46C6" w:rsidRDefault="006C46C6" w:rsidP="006C46C6">
      <w:pPr>
        <w:spacing w:line="276" w:lineRule="auto"/>
        <w:ind w:firstLine="360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قصد تسليط الضوء أكثر على 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هذا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الموضوع، 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>سن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قوم بتقسيم هذا الفصل إلى مبحثين، نتناول ماهية</w:t>
      </w:r>
      <w:r w:rsidRPr="00ED663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عقد البوت </w:t>
      </w:r>
      <w:r w:rsidRPr="00B66C22">
        <w:rPr>
          <w:rFonts w:asciiTheme="majorBidi" w:hAnsiTheme="majorBidi" w:cstheme="majorBidi"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في </w:t>
      </w:r>
      <w:r w:rsidRPr="0059049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المبحث الأول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ثم نستعرض مختلف 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شكال عق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البوت </w:t>
      </w:r>
      <w:r w:rsidRPr="008228CA">
        <w:rPr>
          <w:rFonts w:asciiTheme="majorBidi" w:hAnsiTheme="majorBidi" w:cstheme="majorBidi"/>
          <w:sz w:val="28"/>
          <w:szCs w:val="28"/>
          <w:lang w:bidi="ar-DZ"/>
        </w:rPr>
        <w:t xml:space="preserve"> BOT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مييزه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عن بعض العقود المشابهة له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 في </w:t>
      </w:r>
      <w:r w:rsidRPr="00082E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المبحث الثاني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المبحث الأول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اهية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عقد البناء والتشغيل ونقل الملكية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دراسة ماهية عقد البناء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والتشغيل ونقل الملكية يستلزم ك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ولوية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تحد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يد مفهوم هذ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باعتباره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وسيلة عرف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اللجوء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ليها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الآونة الأخيرة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انتشارا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كبيرا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على المستوى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الدولي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ذلك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 هذا الأسلوب 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عاقدي يقدم حلولا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تنموية فعالة خاصة للدول النامية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ولكي تتضح لنا الرؤية أيضا أكثر حول ماهية هذا العقد، سنحاول استعراض مفهوم هذا العقد في </w:t>
      </w:r>
      <w:r w:rsidRPr="00A51E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المطلب الأول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ثم نبين أطراف هذا العقد وتكييفه القانوني في </w:t>
      </w:r>
      <w:r w:rsidRPr="00A51E8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المطلب الثاني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</w:p>
    <w:p w:rsidR="00357909" w:rsidRDefault="00357909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>المطلب الأول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مفهوم 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عقد البناء والتشغيل ونقل الملكية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الموازنة بين الموقف المالي لخزينة الدولة والمشروعات الواجب تنفيذها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داخل الدولة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مر يحتاج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ى دراسة وإعطاء أولوية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مشروع على أخر 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 w:rsidRPr="00D6086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تأجيل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المشروع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حتى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شعار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خر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لغاء بعض المشروعات المدرجة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جندة الخطة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الإستراتيجية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لعمل الحكومات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هذا ما أدى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لى فرض القطاع الخاص ووجوده في بعض المشاريع التي كانت في الماضي حكرا للدولة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لقد 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صبح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القطاع الخاص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يقوم بتمويل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نشا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ء بعض المشاريع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التي كانت تحتكرها الدولة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يقوم ب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تشغيلها لمدة محددة من الزمن ثم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يعيدها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دولة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باعتبارها صاحبة المشروع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وهو ما يعرف بع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قد البناء والتشغيل ونقل الملكية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مر الذي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يستدعي منا ضبط تعريف هذا العقد بشكل دقيق (</w:t>
      </w:r>
      <w:r w:rsidRPr="00E155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 الأول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)، ثم نستخرج الخصائص التي يتصف بها هذا العقد والتي تميزه عن باقي العقود الأخرى (</w:t>
      </w:r>
      <w:r w:rsidRPr="00E1557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الفرع الثاني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)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الفرع الأول : تعريف عقد البناء والتشغيل ونقل الملكية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" 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6C46C6" w:rsidRPr="00746C7B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proofErr w:type="gramEnd"/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الوصول إلى تعريف </w:t>
      </w:r>
      <w:r w:rsidRPr="00746C7B">
        <w:rPr>
          <w:rFonts w:ascii="Traditional Arabic" w:hAnsi="Traditional Arabic" w:cs="Traditional Arabic"/>
          <w:sz w:val="36"/>
          <w:szCs w:val="36"/>
          <w:rtl/>
          <w:lang w:bidi="ar-DZ"/>
        </w:rPr>
        <w:t>عقد البناء والتشغيل ونقل الملكية</w:t>
      </w:r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بشكل دقيق ومضبوط يقتضي منا الرجوع بداية إلى التعريف اللغوي للعقد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</w:t>
      </w:r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ثم التعريف الاصطلاحي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والتعريف الفقهي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</w:t>
      </w:r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وتعريفه القانوني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رابعا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وتعريف العقد على مستوى المنظمات الدولية </w:t>
      </w: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خامسا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746C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أولا : التعريف اللغوي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ل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لا يعد مصطلح "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اصطلاحا قانونيا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إلا أنه أصبح يط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لق عليه في الآونة الأخيرة اصطلاح مشاريع البنية التحتية الممولة عن طريق القطاع الخاص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وهذا المصطلح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هو اختصار لثلاث كلمات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باللغة الانجليزية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E13B18">
        <w:rPr>
          <w:rFonts w:asciiTheme="majorBidi" w:hAnsiTheme="majorBidi" w:cstheme="majorBidi"/>
          <w:sz w:val="28"/>
          <w:szCs w:val="28"/>
          <w:lang w:bidi="ar-DZ"/>
        </w:rPr>
        <w:t>Build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وتعني بناء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E13B18">
        <w:rPr>
          <w:rFonts w:asciiTheme="majorBidi" w:hAnsiTheme="majorBidi" w:cstheme="majorBidi"/>
          <w:sz w:val="28"/>
          <w:szCs w:val="28"/>
          <w:lang w:bidi="ar-DZ"/>
        </w:rPr>
        <w:t>Operate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وتعني تشغيل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 w:rsidRPr="00790943">
        <w:rPr>
          <w:rFonts w:asciiTheme="majorBidi" w:hAnsiTheme="majorBidi" w:cstheme="majorBidi"/>
          <w:sz w:val="28"/>
          <w:szCs w:val="28"/>
          <w:lang w:bidi="ar-DZ"/>
        </w:rPr>
        <w:t>Transfer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وتعني نقل ملكية المشروع من المستثمر (شركة المشروع)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الجهة المتعاقدة (الدولة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حدى هيئاتها)</w:t>
      </w:r>
      <w:r w:rsidRPr="001C5979">
        <w:rPr>
          <w:rStyle w:val="Appelnotedebasdep"/>
          <w:rFonts w:ascii="Traditional Arabic" w:hAnsi="Traditional Arabic" w:cs="Traditional Arabic"/>
          <w:color w:val="FFFFFF" w:themeColor="background1"/>
          <w:sz w:val="36"/>
          <w:szCs w:val="36"/>
          <w:lang w:bidi="ar-DZ"/>
        </w:rPr>
        <w:footnoteReference w:customMarkFollows="1" w:id="2"/>
        <w:t>(</w:t>
      </w:r>
      <w:r>
        <w:rPr>
          <w:rStyle w:val="Appelnotedebasdep"/>
          <w:rFonts w:ascii="Traditional Arabic" w:hAnsi="Traditional Arabic" w:cs="Traditional Arabic"/>
          <w:sz w:val="36"/>
          <w:szCs w:val="36"/>
          <w:lang w:bidi="ar-DZ"/>
        </w:rPr>
        <w:t>1</w:t>
      </w:r>
      <w:r w:rsidRPr="001C5979">
        <w:rPr>
          <w:rStyle w:val="Appelnotedebasdep"/>
          <w:rFonts w:ascii="Traditional Arabic" w:hAnsi="Traditional Arabic" w:cs="Traditional Arabic"/>
          <w:color w:val="FFFFFF" w:themeColor="background1"/>
          <w:sz w:val="36"/>
          <w:szCs w:val="36"/>
          <w:lang w:bidi="ar-DZ"/>
        </w:rPr>
        <w:t>)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p w:rsidR="00710741" w:rsidRDefault="00710741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6C46C6" w:rsidRPr="00666671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666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ثانيا</w:t>
      </w:r>
      <w:r w:rsidRPr="006666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: التعريف </w:t>
      </w:r>
      <w:r w:rsidRPr="006666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الاصطلاحي لعقد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6666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r w:rsidRPr="006666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666671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 w:rsidRPr="0066667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666671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666671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يتجسد 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التعريف الاصطلاحي لعقد البوت </w:t>
      </w:r>
      <w:r w:rsidRPr="00666671">
        <w:rPr>
          <w:rFonts w:asciiTheme="majorBidi" w:hAnsiTheme="majorBidi" w:cstheme="majorBidi"/>
          <w:sz w:val="28"/>
          <w:szCs w:val="28"/>
          <w:lang w:bidi="ar-DZ"/>
        </w:rPr>
        <w:t>BOT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مختلف المشروعات التي تعهد بها الحكومة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إح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دى الشركات وطنية كانت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جنبية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وسواء كانت شركة من شركات القطاع العام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م القطاع الخاص (شركة المشروع)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وذلك ل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نشاء مرفق عام وتشغيله لحسابها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خلال 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مدة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معينة 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الزمن ثم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تن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قل ملكيته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لى الدولة 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الجهة الإدارية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المتعاقد معها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3"/>
      </w:r>
      <w:r w:rsidRPr="00666671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Pr="0066667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</w:t>
      </w:r>
    </w:p>
    <w:p w:rsidR="006C46C6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: التعريف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الفقهي ل</w:t>
      </w:r>
      <w:r w:rsidRPr="00AF040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عقد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0577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البوت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AF0403">
        <w:rPr>
          <w:rFonts w:asciiTheme="majorBidi" w:hAnsiTheme="majorBidi" w:cstheme="majorBidi"/>
          <w:b/>
          <w:bCs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.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عرف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فقهاء القانون </w:t>
      </w:r>
      <w:r w:rsidRPr="00BB7082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عقود البوت </w:t>
      </w:r>
      <w:r w:rsidRPr="000E3F66">
        <w:rPr>
          <w:rFonts w:asciiTheme="majorBidi" w:hAnsiTheme="majorBidi" w:cstheme="majorBidi"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بصورة موحدة،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وذلك لصعوبة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وضع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تعريف دقيق يحيط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حاطة كاملة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مفهوم الشامل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لهذا الأسلوب التعاقدي،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حيث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يضم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هذا الأخير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عد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د من العناصر التعاقدية المختلفة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لذلك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اعتبر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جانب من الفقه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 عقد البو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ت </w:t>
      </w:r>
      <w:r w:rsidRPr="000E3F66">
        <w:rPr>
          <w:rFonts w:asciiTheme="majorBidi" w:hAnsiTheme="majorBidi" w:cstheme="majorBidi"/>
          <w:sz w:val="28"/>
          <w:szCs w:val="28"/>
          <w:lang w:bidi="ar-DZ"/>
        </w:rPr>
        <w:t>BOT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: "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هو نظام لتمويل مشروعات البنية الأساسية بواسطة القطاع الخ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وبمقتضاه تمنح الدولة ترخيصا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و امتيازا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حدى الشركات الخاصة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الوطنية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 الأجنبية تعرف في العمل بشركة المشروع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أج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شاء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حدى المشاريع الأساسية واستغلاله مدة محددة الزمن تكون كافية لاسترداد التكاليف التي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فقت فضلا عن قدر من الربح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 تلتزم شركة المشروع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نهاية المدة بإعادة المشروع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لى الدولة بحالة جيدة ودون مقابل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4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proofErr w:type="gramEnd"/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عرفه الأستاذ </w:t>
      </w:r>
      <w:r w:rsidRPr="00AF7451">
        <w:rPr>
          <w:rFonts w:asciiTheme="majorBidi" w:hAnsiTheme="majorBidi" w:cstheme="majorBidi"/>
          <w:sz w:val="28"/>
          <w:szCs w:val="28"/>
          <w:lang w:bidi="ar-DZ"/>
        </w:rPr>
        <w:t xml:space="preserve">J. </w:t>
      </w:r>
      <w:proofErr w:type="gramStart"/>
      <w:r w:rsidRPr="00AF7451">
        <w:rPr>
          <w:rFonts w:asciiTheme="majorBidi" w:hAnsiTheme="majorBidi" w:cstheme="majorBidi"/>
          <w:sz w:val="28"/>
          <w:szCs w:val="28"/>
          <w:lang w:bidi="ar-DZ"/>
        </w:rPr>
        <w:t>M.Loncl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عقد امتياز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لبوت ب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نه 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عبارة عن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>عملية تعاقدية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خلالها يجتمع عدد من الشركات الخاصة تحت اسم شركة المشروع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التي تتولى تمويل و</w:t>
      </w:r>
      <w:r w:rsidRPr="00AF745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AF745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شاء واستغلال مرفق </w:t>
      </w:r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عام </w:t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 منحة بواسطة الدولة خلال مدة معينة، على </w:t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شركة المشروع تلتزم بإعادة المشروع </w:t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C34159">
        <w:rPr>
          <w:rFonts w:ascii="Traditional Arabic" w:hAnsi="Traditional Arabic" w:cs="Traditional Arabic"/>
          <w:sz w:val="36"/>
          <w:szCs w:val="36"/>
          <w:rtl/>
          <w:lang w:bidi="ar-DZ"/>
        </w:rPr>
        <w:t>لى الجهة مانحة الالتزام في نهاية مدة العقد</w:t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C34159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5"/>
      </w:r>
      <w:r w:rsidRPr="00C3415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</w:p>
    <w:p w:rsidR="006C46C6" w:rsidRPr="005221EE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5221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رابعا: التعريف القانوني لعقد البوت </w:t>
      </w:r>
      <w:r w:rsidRPr="005221EE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BOT</w:t>
      </w:r>
    </w:p>
    <w:p w:rsidR="006C46C6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سنحاول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خلال هذا العنصر التطرق للتعريفات التي جاءت في إطار تشريعات بعض الدول والتي من بينها التشريع الجزائري.          </w:t>
      </w:r>
    </w:p>
    <w:p w:rsidR="006C46C6" w:rsidRPr="00226A9F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5569BB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1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تعريف عقد البوت 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مختلف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التشريعات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الوطنية</w:t>
      </w:r>
      <w:r w:rsidRPr="00D60864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:</w:t>
      </w:r>
    </w:p>
    <w:p w:rsidR="005702BA" w:rsidRDefault="006C46C6" w:rsidP="005702BA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 تعر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َ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غلب التشريعات الوطنية عقد البوت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رغم أن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هنا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 ال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دول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عمدت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صدار قانون ينظم التعاقد وفق صيغة عقد البوت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حرصا منهما على مواكبة التطورات الاقتصادية وجذب الاستثمارات في مجال مشروعات البنية التحتية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نذكر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منها على سبيل المثال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المشرع التركي في القانون رقم (3996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) لعام 1994م والمتعلق بعقد البو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ت، 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ذ عرفت المادة (13أ) منه عقد البوت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أنه: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نموذج تمويلي خاص بتطوير المشروعات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يتطلب تكنولوجيا عالية ور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س مال مستثمر عالي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، يتمكن المتعهد خلاله من 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ستعادة قيمة استثماراته عن طريق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زام المانح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المستفيدين شراء الخدمات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 المنتجات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6"/>
      </w:r>
      <w:r w:rsidR="005702B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6C46C6" w:rsidRDefault="005702BA" w:rsidP="005702BA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ذلك الحال بالنسبة للمشرع الصيني الذي عمد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سنة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1996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لى وضع قواعد قانونية تتعلق بالا</w:t>
      </w:r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>ستثمار الأجنبي وفقا لعقود البوت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عرفت المادة (02) من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هذه 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القواعد عقد البوت ب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نه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مشروعات البنية 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التحتية التي تبنى وتدار وتنقل مل</w:t>
      </w:r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>كيتها بواسطة المستثمرين الأجانب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،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ذ غالبا ما تعطيه الحكومة ال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ذن في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نشاء مشروع </w:t>
      </w:r>
      <w:r w:rsidR="006C46C6" w:rsidRPr="00E34B66">
        <w:rPr>
          <w:rFonts w:asciiTheme="majorBidi" w:hAnsiTheme="majorBidi" w:cstheme="majorBidi"/>
          <w:sz w:val="28"/>
          <w:szCs w:val="28"/>
          <w:lang w:bidi="ar-DZ"/>
        </w:rPr>
        <w:t>B.</w:t>
      </w:r>
      <w:proofErr w:type="gramStart"/>
      <w:r w:rsidR="006C46C6" w:rsidRPr="00E34B66">
        <w:rPr>
          <w:rFonts w:asciiTheme="majorBidi" w:hAnsiTheme="majorBidi" w:cstheme="majorBidi"/>
          <w:sz w:val="28"/>
          <w:szCs w:val="28"/>
          <w:lang w:bidi="ar-DZ"/>
        </w:rPr>
        <w:t>O.T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الذي يكون المتعهد فيه مسؤول عن تمويل المشروع و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دارته وصيانته وبعد انتهاء مدة العقد يقوم المتعهد بنقل المشروع 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="006C46C6"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ى الم</w:t>
      </w:r>
      <w:r w:rsidR="006C46C6">
        <w:rPr>
          <w:rFonts w:ascii="Traditional Arabic" w:hAnsi="Traditional Arabic" w:cs="Traditional Arabic"/>
          <w:sz w:val="36"/>
          <w:szCs w:val="36"/>
          <w:rtl/>
          <w:lang w:bidi="ar-DZ"/>
        </w:rPr>
        <w:t>انح بحالة جيدة ومن غير أي أعباء</w:t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="006C46C6"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7"/>
      </w:r>
      <w:r w:rsidR="006C46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</w:p>
    <w:p w:rsidR="006C46C6" w:rsidRPr="00746C7B" w:rsidRDefault="006C46C6" w:rsidP="006C46C6">
      <w:pPr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746C7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 xml:space="preserve">2. موقف المشرع الجزائري من تعريف عقد البوت </w:t>
      </w:r>
      <w:r w:rsidRPr="00746C7B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BOT</w:t>
      </w:r>
    </w:p>
    <w:p w:rsidR="006C46C6" w:rsidRPr="00D60864" w:rsidRDefault="006C46C6" w:rsidP="006C46C6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ل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 xml:space="preserve">م يتطرق المشرع الجزائري 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ل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تسمية "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ال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بوت" في مختلف القوانين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،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 xml:space="preserve"> غير 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أن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نا نلاحظ هذه الصيغة القانونية من صيغ عقود الامتياز من خ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لال جملة من النص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وص القانوني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ة ذات الطاب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ع التشري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عي والتنظي</w:t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>ـــ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مي</w:t>
      </w:r>
      <w:r w:rsidRPr="00842792">
        <w:rPr>
          <w:rStyle w:val="Appelnotedebasdep"/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footnoteReference w:id="8"/>
      </w:r>
      <w:r w:rsidRPr="00842792">
        <w:rPr>
          <w:rFonts w:ascii="Traditional Arabic" w:hAnsi="Traditional Arabic" w:cs="Traditional Arabic" w:hint="cs"/>
          <w:sz w:val="36"/>
          <w:szCs w:val="36"/>
          <w:shd w:val="clear" w:color="auto" w:fill="FFFFFF" w:themeFill="background1"/>
          <w:rtl/>
          <w:lang w:bidi="ar-DZ"/>
        </w:rPr>
        <w:t xml:space="preserve">، حيث 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 xml:space="preserve">نجد مثلا نص المادة الأولى من المرسوم التنفيذي </w:t>
      </w:r>
      <w:r w:rsidRPr="00842792">
        <w:rPr>
          <w:rFonts w:ascii="Traditional Arabic" w:hAnsi="Traditional Arabic" w:cs="Traditional Arabic"/>
          <w:sz w:val="28"/>
          <w:szCs w:val="28"/>
          <w:shd w:val="clear" w:color="auto" w:fill="FFFFFF" w:themeFill="background1"/>
          <w:rtl/>
          <w:lang w:bidi="ar-DZ"/>
        </w:rPr>
        <w:t xml:space="preserve">96-308 </w:t>
      </w:r>
      <w:r w:rsidRPr="00842792">
        <w:rPr>
          <w:rFonts w:ascii="Traditional Arabic" w:hAnsi="Traditional Arabic" w:cs="Traditional Arabic"/>
          <w:sz w:val="36"/>
          <w:szCs w:val="36"/>
          <w:shd w:val="clear" w:color="auto" w:fill="FFFFFF" w:themeFill="background1"/>
          <w:rtl/>
          <w:lang w:bidi="ar-DZ"/>
        </w:rPr>
        <w:t>المتعلق بمنح امتيازات الطرق السريعة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9"/>
      </w:r>
      <w:r>
        <w:rPr>
          <w:rStyle w:val="Appelnotedebasdep"/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نصت على " يخضع انجاز الطرق السريعة وملحقاتها وتسييرها وصيانتها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شغال تهيئتها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توسيعها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منح الامتياز.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0"/>
      </w:r>
    </w:p>
    <w:p w:rsidR="006C46C6" w:rsidRPr="00D60864" w:rsidRDefault="006C46C6" w:rsidP="006C46C6">
      <w:pPr>
        <w:spacing w:line="276" w:lineRule="auto"/>
        <w:ind w:left="-1" w:firstLine="361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ضافت المادة</w:t>
      </w:r>
      <w:r w:rsidRPr="00CC211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29/1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دفتر الأعباء النموذجي "عند انقضاء المدة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المرتقبة من 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حكام المادة أعلاه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وبموجب هذا الانقضاء لا غير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، يحل مانح الامتي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از محل صاحب الامتياز في جميع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قوق والالتزامات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المرتبطة بالامتياز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ويتسلم على الفور التجهيزات والأجهزة وملحقاتها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خلال هذه المادة نستخلص عناصر عقد البوت وهي الإنجاز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تسيير ثم الإعادة.</w:t>
      </w:r>
    </w:p>
    <w:p w:rsidR="006C46C6" w:rsidRPr="00D60864" w:rsidRDefault="006C46C6" w:rsidP="006C46C6">
      <w:pPr>
        <w:spacing w:line="276" w:lineRule="auto"/>
        <w:ind w:firstLine="360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ما</w:t>
      </w:r>
      <w:proofErr w:type="gramEnd"/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</w:t>
      </w:r>
      <w:r w:rsidRPr="00F45076">
        <w:rPr>
          <w:rFonts w:ascii="Traditional Arabic" w:hAnsi="Traditional Arabic" w:cs="Traditional Arabic"/>
          <w:sz w:val="36"/>
          <w:szCs w:val="36"/>
          <w:rtl/>
          <w:lang w:bidi="ar-DZ"/>
        </w:rPr>
        <w:t>ميدان النقل الجوي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نجد المادة 08 من القانون رقم </w:t>
      </w:r>
      <w:r w:rsidRPr="003E7E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2000-05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تنص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نه " تقوم الدولة 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نشاء المحطات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جوية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نجازها محل امتياز يمنح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شخاص طبيعيين من جنسية جزائرية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شخاص اع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تباريين خاضعين للقانون الجزائري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proofErr w:type="gramEnd"/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1"/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 تنص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المادة 3 من ال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مر رقم 03-10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"يمكن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يكون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جاز واستغلال محطة جوية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مطار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 محطة طوافات بغرض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فتحها للملاحة الجوية العمومية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موضوع امتياز تمنحه السلطة المكلفة بالطيران المدني.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2"/>
      </w:r>
      <w:r>
        <w:rPr>
          <w:rStyle w:val="Appelnotedebasdep"/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6C46C6" w:rsidRPr="00D60864" w:rsidRDefault="006C46C6" w:rsidP="006C46C6">
      <w:pPr>
        <w:spacing w:line="276" w:lineRule="auto"/>
        <w:ind w:left="-1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بالإضافة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 ال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قانون رقم </w:t>
      </w:r>
      <w:r w:rsidRPr="003E7E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02-01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المتعلق </w:t>
      </w:r>
      <w:r w:rsidRPr="00F45076">
        <w:rPr>
          <w:rFonts w:ascii="Traditional Arabic" w:hAnsi="Traditional Arabic" w:cs="Traditional Arabic"/>
          <w:sz w:val="36"/>
          <w:szCs w:val="36"/>
          <w:rtl/>
          <w:lang w:bidi="ar-DZ"/>
        </w:rPr>
        <w:t>بالكهرباء وتوزيع الغاز بواسطة القنوات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قد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تضمن هذه الصيغة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من التعاقد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خاصة في مادته</w:t>
      </w:r>
      <w:r w:rsidRPr="003E7E56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الثانية،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حيث تنص هذه الأخيرة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نه " ينجز المنشآت الجديدة 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نتاج الكهرباء ويستغلها كل شخص طبيعي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معنوي خاضع للقانون الخاص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العام،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ائز رخصة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لاستغلال "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،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من خلال ما جاء في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هذه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الماد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نجد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 المشرع أورد المراحل المتضمنة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في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عقود البوت وهي الإنجاز والاستغلال وبعدها إعادة المشروع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لى الدولة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3"/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كما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فتح المشرع الجزائري المجال للتعاقد بأسلوب البوت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وذلك 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صداره للقانون رقم 05-12 المؤرخ في 04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وت 2005 </w:t>
      </w:r>
      <w:r w:rsidRPr="00F45076">
        <w:rPr>
          <w:rFonts w:ascii="Traditional Arabic" w:hAnsi="Traditional Arabic" w:cs="Traditional Arabic"/>
          <w:sz w:val="36"/>
          <w:szCs w:val="36"/>
          <w:rtl/>
          <w:lang w:bidi="ar-DZ"/>
        </w:rPr>
        <w:t>المتعلق بالمياه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 حيث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نص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المادة 17 منه على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تخضع كذلك لل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ملاك العمومية الاصطناعية للمياه المنشآت والهياكل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التي تعتبر ملكا يرجع للدولة بد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ون مقابل بعد نفاذ عقد الامتياز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التفويض لل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نجاز والاستغلال المبرم مع شخص طبيعي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معنوي خاضع للقانون العام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و القانون الخاص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>
        <w:rPr>
          <w:rStyle w:val="Appelnotedebasdep"/>
          <w:rFonts w:ascii="Traditional Arabic" w:hAnsi="Traditional Arabic" w:cs="Traditional Arabic"/>
          <w:sz w:val="36"/>
          <w:szCs w:val="36"/>
          <w:rtl/>
          <w:lang w:bidi="ar-DZ"/>
        </w:rPr>
        <w:footnoteReference w:id="14"/>
      </w:r>
    </w:p>
    <w:p w:rsidR="006C46C6" w:rsidRPr="00D60864" w:rsidRDefault="006C46C6" w:rsidP="006C46C6">
      <w:pPr>
        <w:spacing w:line="276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هذا الصدد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برمت شركة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فرع ل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سونطراك (</w:t>
      </w:r>
      <w:r w:rsidRPr="00004F9F">
        <w:rPr>
          <w:rFonts w:asciiTheme="majorBidi" w:hAnsiTheme="majorBidi" w:cstheme="majorBidi"/>
          <w:sz w:val="28"/>
          <w:szCs w:val="28"/>
          <w:lang w:bidi="ar-DZ"/>
        </w:rPr>
        <w:t>SONATRACH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)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واقعة بولاية سكيكدة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وسونلغاز والوكالة الجزائرية للطاقة </w:t>
      </w:r>
      <w:r w:rsidRPr="00004F9F">
        <w:rPr>
          <w:rFonts w:asciiTheme="majorBidi" w:hAnsiTheme="majorBidi" w:cstheme="majorBidi"/>
          <w:sz w:val="28"/>
          <w:szCs w:val="28"/>
          <w:lang w:bidi="ar-DZ"/>
        </w:rPr>
        <w:t>AEC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عقدا مع مجموعة </w:t>
      </w:r>
      <w:r w:rsidRPr="00004F9F">
        <w:rPr>
          <w:rFonts w:asciiTheme="majorBidi" w:hAnsiTheme="majorBidi" w:cstheme="majorBidi"/>
          <w:sz w:val="28"/>
          <w:szCs w:val="28"/>
          <w:lang w:bidi="ar-DZ"/>
        </w:rPr>
        <w:t>SNC Lavalin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بقيمة 600 مليون دولار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لتصميم 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نشاء وتشغيل محطة لتوليد الكهرباء لمدة 12 سنة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مع إمكا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نية تجديد العقد لنفس المدة، ما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يبين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العقود التي تبرمها الجزائر مع الشركات الأجنبية 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تي تحت صيغة عقد البوت</w:t>
      </w:r>
      <w:r w:rsidRPr="00D60864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</w:p>
    <w:sectPr w:rsidR="006C46C6" w:rsidRPr="00D60864" w:rsidSect="00057AEB">
      <w:headerReference w:type="default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68" w:rsidRDefault="00EC7C68" w:rsidP="00FA61F2">
      <w:r>
        <w:separator/>
      </w:r>
    </w:p>
  </w:endnote>
  <w:endnote w:type="continuationSeparator" w:id="0">
    <w:p w:rsidR="00EC7C68" w:rsidRDefault="00EC7C68" w:rsidP="00FA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42173197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346919" w:rsidRPr="00057AEB" w:rsidRDefault="00991E2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346919" w:rsidRPr="00057AEB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FC5B87" w:rsidRPr="00FC5B87">
          <w:rPr>
            <w:rFonts w:ascii="Simplified Arabic" w:hAnsi="Simplified Arabic" w:cs="Simplified Arabic"/>
            <w:noProof/>
            <w:sz w:val="28"/>
            <w:szCs w:val="28"/>
            <w:rtl/>
            <w:lang w:val="fr-FR"/>
          </w:rPr>
          <w:t>5</w:t>
        </w:r>
        <w:r w:rsidRPr="00057AEB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346919" w:rsidRDefault="00346919" w:rsidP="00057AEB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68" w:rsidRDefault="00EC7C68" w:rsidP="00FA61F2">
      <w:r>
        <w:separator/>
      </w:r>
    </w:p>
  </w:footnote>
  <w:footnote w:type="continuationSeparator" w:id="0">
    <w:p w:rsidR="00EC7C68" w:rsidRDefault="00EC7C68" w:rsidP="00FA61F2">
      <w:r>
        <w:continuationSeparator/>
      </w:r>
    </w:p>
  </w:footnote>
  <w:footnote w:id="1">
    <w:p w:rsidR="00346919" w:rsidRPr="00D5665A" w:rsidRDefault="00346919" w:rsidP="006C46C6">
      <w:pPr>
        <w:pStyle w:val="Notedebasdepage"/>
        <w:jc w:val="both"/>
        <w:rPr>
          <w:rFonts w:asciiTheme="majorBidi" w:hAnsiTheme="majorBidi" w:cstheme="majorBidi"/>
          <w:lang w:bidi="ar-DZ"/>
        </w:rPr>
      </w:pPr>
      <w:r>
        <w:rPr>
          <w:rStyle w:val="Appelnotedebasdep"/>
        </w:rPr>
        <w:t>1</w:t>
      </w:r>
      <w:r>
        <w:t xml:space="preserve"> </w:t>
      </w:r>
      <w:r w:rsidRPr="00F83E7E">
        <w:rPr>
          <w:rFonts w:asciiTheme="majorBidi" w:hAnsiTheme="majorBidi" w:cstheme="majorBidi"/>
          <w:sz w:val="22"/>
          <w:szCs w:val="22"/>
        </w:rPr>
        <w:t>- Lyonet du Mautier Michel</w:t>
      </w:r>
      <w:r>
        <w:rPr>
          <w:rFonts w:asciiTheme="majorBidi" w:hAnsiTheme="majorBidi" w:cstheme="majorBidi"/>
          <w:sz w:val="22"/>
          <w:szCs w:val="22"/>
        </w:rPr>
        <w:t>,</w:t>
      </w:r>
      <w:r w:rsidRPr="00F83E7E">
        <w:rPr>
          <w:rFonts w:asciiTheme="majorBidi" w:hAnsiTheme="majorBidi" w:cstheme="majorBidi"/>
          <w:sz w:val="22"/>
          <w:szCs w:val="22"/>
        </w:rPr>
        <w:t xml:space="preserve"> Financement sur projet </w:t>
      </w:r>
      <w:proofErr w:type="gramStart"/>
      <w:r w:rsidRPr="00F83E7E">
        <w:rPr>
          <w:rFonts w:asciiTheme="majorBidi" w:hAnsiTheme="majorBidi" w:cstheme="majorBidi"/>
          <w:sz w:val="22"/>
          <w:szCs w:val="22"/>
        </w:rPr>
        <w:t>et</w:t>
      </w:r>
      <w:proofErr w:type="gramEnd"/>
      <w:r w:rsidRPr="00F83E7E">
        <w:rPr>
          <w:rFonts w:asciiTheme="majorBidi" w:hAnsiTheme="majorBidi" w:cstheme="majorBidi"/>
          <w:sz w:val="22"/>
          <w:szCs w:val="22"/>
        </w:rPr>
        <w:t xml:space="preserve"> Partenariat public- privé</w:t>
      </w:r>
      <w:r>
        <w:rPr>
          <w:rFonts w:asciiTheme="majorBidi" w:hAnsiTheme="majorBidi" w:cstheme="majorBidi"/>
          <w:sz w:val="22"/>
          <w:szCs w:val="22"/>
        </w:rPr>
        <w:t>,</w:t>
      </w:r>
      <w:r w:rsidRPr="00F83E7E">
        <w:rPr>
          <w:rFonts w:asciiTheme="majorBidi" w:hAnsiTheme="majorBidi" w:cstheme="majorBidi"/>
          <w:sz w:val="22"/>
          <w:szCs w:val="22"/>
        </w:rPr>
        <w:t xml:space="preserve"> Editions E M S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Pr="00F83E7E">
        <w:rPr>
          <w:rFonts w:asciiTheme="majorBidi" w:hAnsiTheme="majorBidi" w:cstheme="majorBidi"/>
          <w:sz w:val="22"/>
          <w:szCs w:val="22"/>
        </w:rPr>
        <w:t>Paris,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F83E7E">
        <w:rPr>
          <w:rFonts w:asciiTheme="majorBidi" w:hAnsiTheme="majorBidi" w:cstheme="majorBidi"/>
          <w:sz w:val="22"/>
          <w:szCs w:val="22"/>
        </w:rPr>
        <w:t>2006,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F83E7E">
        <w:rPr>
          <w:rFonts w:asciiTheme="majorBidi" w:hAnsiTheme="majorBidi" w:cstheme="majorBidi"/>
          <w:sz w:val="22"/>
          <w:szCs w:val="22"/>
        </w:rPr>
        <w:t xml:space="preserve">P33. </w:t>
      </w:r>
    </w:p>
  </w:footnote>
  <w:footnote w:id="2">
    <w:p w:rsidR="00346919" w:rsidRPr="00E34B66" w:rsidRDefault="00346919" w:rsidP="006C46C6">
      <w:pPr>
        <w:pStyle w:val="Notedebasdepage"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 w:rsidRPr="00E34B66">
        <w:rPr>
          <w:rStyle w:val="Appelnotedebasdep"/>
          <w:rFonts w:ascii="Traditional Arabic" w:hAnsi="Traditional Arabic" w:cs="Traditional Arabic"/>
          <w:sz w:val="26"/>
          <w:szCs w:val="26"/>
        </w:rPr>
        <w:t>1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مصطفى عبد المحسن الحبشي، الوجيز في عقود البوت 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BOT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، المجلة الكبرى، دار الكتب القانونية، مصر، 2008، ص9.</w:t>
      </w:r>
    </w:p>
  </w:footnote>
  <w:footnote w:id="3">
    <w:p w:rsidR="00346919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مصطفى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عبد المحسن الحبشي،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المرجع السابق، ص 10.</w:t>
      </w:r>
    </w:p>
  </w:footnote>
  <w:footnote w:id="4">
    <w:p w:rsidR="00346919" w:rsidRPr="009A2E69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هاني صلاح سرى الدين، التنظيم القانوني لمشروعات البنية الأساسية الممولة عن طريق القطاع الخاص، دراسة تحليلية لنظام التمليك والتشغيل ونقل الملكية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BOT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وغيرها من صور مشاركة القطاع الخاص في تقديم خدمات البنية الأساسية، ط1،دار النهضة العربية، مصر، 2001، ص 52.</w:t>
      </w:r>
    </w:p>
  </w:footnote>
  <w:footnote w:id="5">
    <w:p w:rsidR="00346919" w:rsidRPr="009A2E69" w:rsidRDefault="00346919" w:rsidP="0095342F">
      <w:pPr>
        <w:pStyle w:val="Notedebasdepage"/>
        <w:bidi w:val="0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-</w:t>
      </w:r>
      <w:r w:rsidRPr="009A2E69">
        <w:rPr>
          <w:rFonts w:asciiTheme="majorBidi" w:hAnsiTheme="majorBidi" w:cstheme="majorBidi"/>
        </w:rPr>
        <w:t xml:space="preserve"> </w:t>
      </w:r>
      <w:r w:rsidRPr="006A7AE8">
        <w:rPr>
          <w:rFonts w:asciiTheme="majorBidi" w:hAnsiTheme="majorBidi" w:cstheme="majorBidi"/>
          <w:sz w:val="22"/>
          <w:szCs w:val="22"/>
        </w:rPr>
        <w:t xml:space="preserve">LONCLE J.M. Grands Projets d’infrastructures le montage Build. </w:t>
      </w:r>
      <w:proofErr w:type="gramStart"/>
      <w:r w:rsidRPr="006A7AE8">
        <w:rPr>
          <w:rFonts w:asciiTheme="majorBidi" w:hAnsiTheme="majorBidi" w:cstheme="majorBidi"/>
          <w:sz w:val="22"/>
          <w:szCs w:val="22"/>
        </w:rPr>
        <w:t>Operate.Transfer Bot.m8 Paris.1997.p946.</w:t>
      </w:r>
      <w:proofErr w:type="gramEnd"/>
    </w:p>
  </w:footnote>
  <w:footnote w:id="6">
    <w:p w:rsidR="00346919" w:rsidRPr="00D9274D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إلياس ناصف، عقد 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BOT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، المؤسسة الحديثة للكتاب، طرابلس، لبنان، د ط، 2006، ص 82.</w:t>
      </w:r>
    </w:p>
  </w:footnote>
  <w:footnote w:id="7">
    <w:p w:rsidR="00346919" w:rsidRPr="00D9274D" w:rsidRDefault="00346919" w:rsidP="006C46C6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-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إبرا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هيم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شه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اوي، عقد إمتیاز المرفق العام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 xml:space="preserve"> BOT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دراسة مقارنة، الطبعة الأولى،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د.د.ن،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القاھرة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2003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 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45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r w:rsidRPr="00D51629">
        <w:rPr>
          <w:rFonts w:ascii="Traditional Arabic" w:hAnsi="Traditional Arabic" w:cs="Traditional Arabic"/>
          <w:sz w:val="26"/>
          <w:szCs w:val="26"/>
        </w:rPr>
        <w:t xml:space="preserve"> </w:t>
      </w:r>
    </w:p>
  </w:footnote>
  <w:footnote w:id="8">
    <w:p w:rsidR="00346919" w:rsidRPr="00DF0173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>-</w:t>
      </w:r>
      <w:r w:rsidRPr="00924632">
        <w:rPr>
          <w:rFonts w:ascii="Traditional Arabic" w:hAnsi="Traditional Arabic" w:cs="Traditional Arabic"/>
          <w:sz w:val="26"/>
          <w:szCs w:val="26"/>
        </w:rPr>
        <w:t xml:space="preserve"> 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نهلة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عمر عبد الرحمن، عقود ال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بوت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 xml:space="preserve"> BOT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وأث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رها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جذب الاستثمار، وزارة النقل، المنشأة العامة للطیران المدني، 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: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الموقع على</w:t>
      </w:r>
      <w:r w:rsidRPr="00BA2E26">
        <w:rPr>
          <w:rFonts w:asciiTheme="majorBidi" w:hAnsiTheme="majorBidi" w:cstheme="majorBidi"/>
          <w:sz w:val="24"/>
          <w:szCs w:val="24"/>
          <w:rtl/>
          <w:lang w:bidi="ar-DZ"/>
        </w:rPr>
        <w:t xml:space="preserve">. </w:t>
      </w:r>
      <w:proofErr w:type="gramStart"/>
      <w:r w:rsidRPr="00BA2E26">
        <w:rPr>
          <w:rFonts w:asciiTheme="majorBidi" w:hAnsiTheme="majorBidi" w:cstheme="majorBidi"/>
          <w:sz w:val="24"/>
          <w:szCs w:val="24"/>
          <w:lang w:bidi="ar-DZ"/>
        </w:rPr>
        <w:t>www.motrans.gov.iq/research-mot1/conference/research/bot.pd</w:t>
      </w:r>
      <w:r w:rsidRPr="00BA2E26">
        <w:rPr>
          <w:rFonts w:ascii="Traditional Arabic" w:hAnsi="Traditional Arabic" w:cs="Traditional Arabic"/>
          <w:sz w:val="28"/>
          <w:szCs w:val="28"/>
          <w:lang w:bidi="ar-DZ"/>
        </w:rPr>
        <w:t>f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أطلع عليه بتاريخ 12 أكتوبر 2020 على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الساعة 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التاسعة صباحا</w:t>
      </w:r>
      <w:r>
        <w:rPr>
          <w:rFonts w:ascii="Traditional Arabic" w:hAnsi="Traditional Arabic" w:cs="Traditional Arabic" w:hint="cs"/>
          <w:sz w:val="26"/>
          <w:szCs w:val="26"/>
          <w:rtl/>
        </w:rPr>
        <w:t>.</w:t>
      </w:r>
      <w:proofErr w:type="gramEnd"/>
      <w:r w:rsidRPr="00924632">
        <w:rPr>
          <w:rFonts w:ascii="Traditional Arabic" w:hAnsi="Traditional Arabic" w:cs="Traditional Arabic"/>
          <w:sz w:val="26"/>
          <w:szCs w:val="26"/>
          <w:rtl/>
        </w:rPr>
        <w:t xml:space="preserve"> </w:t>
      </w:r>
    </w:p>
  </w:footnote>
  <w:footnote w:id="9">
    <w:p w:rsidR="00346919" w:rsidRPr="001F7732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جاء</w:t>
      </w:r>
      <w:proofErr w:type="gramEnd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هذا المرسوم التنفيذي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تطبيقا للمادتين 166 -167 من الأمر رقم 95 – 27 مؤرخ في 08 شعبان 1416 الموافق لـ 03 ديسمبر 1995، المتضمن قانون المالية 1996، ج.ر،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82، الصادر في 31 ديسمبر 1995، ص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ص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71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72.</w:t>
      </w:r>
      <w:r>
        <w:rPr>
          <w:rFonts w:ascii="Traditional Arabic" w:hAnsi="Traditional Arabic" w:cs="Traditional Arabic" w:hint="cs"/>
          <w:sz w:val="26"/>
          <w:szCs w:val="26"/>
          <w:rtl/>
        </w:rPr>
        <w:t xml:space="preserve"> </w:t>
      </w:r>
    </w:p>
  </w:footnote>
  <w:footnote w:id="10">
    <w:p w:rsidR="00346919" w:rsidRPr="00D222A5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مرسوم 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تنفيذي رقم 96 – 308 مؤرخ في 05 جمادى الأولى عام 1417، الموافق لـ 18 سبتمبر 1996، يتعلق بمنح امتيازات الطرق السريعة، ج.ر،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55، الصادر في 25 سبتمبر 1996، ص 09.</w:t>
      </w:r>
    </w:p>
  </w:footnote>
  <w:footnote w:id="11">
    <w:p w:rsidR="00346919" w:rsidRPr="00D222A5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proofErr w:type="gram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قانون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رقم 2000 – 05 مؤرخ في 10 رمضان عام 1421 الموافق لـ 06 ديسمبر 2000، يعدل ويتمم القانون رقم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98-06 المؤرخ لـ 03 ربيع الأول عام 1419، الموافق لـ 27 يونيو 1998، الذي يحدد القواعد العامة المتعلقة بالطيران المدني، ج.ر،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75، الصادر في 10 ديسمبر 2000، ص4.</w:t>
      </w:r>
    </w:p>
  </w:footnote>
  <w:footnote w:id="12">
    <w:p w:rsidR="00346919" w:rsidRPr="00D222A5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proofErr w:type="gramStart"/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أمر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رقم 03-10 مؤرخ في 14 جمادى الثانية 1424 الموافق لـ 13 غشت 2003، يعدل ويتمم القانون رقم 98- 06 المؤرخ في 03 ربيع الأول 1419 الموافق لـ 27 يونيو 1998، الذي يحدد القواعد العامة المتعلقة بالطيران المدني، ج.ر، </w:t>
      </w:r>
      <w:proofErr w:type="gramStart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العدد</w:t>
      </w:r>
      <w:proofErr w:type="gramEnd"/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48، الصادر في</w:t>
      </w:r>
      <w:r w:rsidRPr="00BA2E2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BA2E26">
        <w:rPr>
          <w:rFonts w:ascii="Traditional Arabic" w:hAnsi="Traditional Arabic" w:cs="Traditional Arabic"/>
          <w:sz w:val="28"/>
          <w:szCs w:val="28"/>
          <w:rtl/>
          <w:lang w:bidi="ar-DZ"/>
        </w:rPr>
        <w:t>13 غشت 2003، ص 5.</w:t>
      </w:r>
    </w:p>
  </w:footnote>
  <w:footnote w:id="13">
    <w:p w:rsidR="00346919" w:rsidRPr="001C77EE" w:rsidRDefault="00346919" w:rsidP="006C46C6">
      <w:pPr>
        <w:pStyle w:val="Notedebasdepage"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- 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القا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نون رقم 02-01 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مؤرّخ في 22 ذي القع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دة 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1422 الموافق5 فبرایر2002،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یتعلّق با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لكهرباء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وتوزیع الغاز بواسطة القنوات، 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الجريدة الرسمية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، العدد 8 ،الصاد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رة بتاريخ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6 فبرایر2002،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ص5-7</w:t>
      </w:r>
    </w:p>
  </w:footnote>
  <w:footnote w:id="14">
    <w:p w:rsidR="00346919" w:rsidRPr="00757C5C" w:rsidRDefault="00346919" w:rsidP="006C46C6">
      <w:pPr>
        <w:pStyle w:val="Notedebasdepage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</w:rPr>
        <w:t>-</w:t>
      </w:r>
      <w:r w:rsidRPr="009C08B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</w:t>
      </w:r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انون رقم 05-12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>مؤرّخ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</w:t>
      </w:r>
      <w:r w:rsidRPr="009C08B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28 جمادى الثانیة عام 1426 الموافق 04 غشت 2005، یتعلّق بالمیاه، 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ج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ريدة ال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ر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سمية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، العدد 60 ،الصادر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ة بتاريخ 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04 سبتمبر 2005،</w:t>
      </w:r>
      <w:r w:rsidRPr="00757C5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757C5C">
        <w:rPr>
          <w:rFonts w:ascii="Traditional Arabic" w:hAnsi="Traditional Arabic" w:cs="Traditional Arabic"/>
          <w:sz w:val="28"/>
          <w:szCs w:val="28"/>
          <w:rtl/>
          <w:lang w:bidi="ar-DZ"/>
        </w:rPr>
        <w:t>ص6</w:t>
      </w:r>
      <w:r w:rsidRPr="00757C5C">
        <w:rPr>
          <w:rFonts w:ascii="Traditional Arabic" w:hAnsi="Traditional Arabic" w:cs="Traditional Arabic"/>
          <w:sz w:val="28"/>
          <w:szCs w:val="28"/>
          <w:lang w:bidi="ar-DZ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hAnsi="Traditional Arabic" w:cs="Traditional Arabic"/>
        <w:b/>
        <w:bCs/>
        <w:sz w:val="36"/>
        <w:szCs w:val="36"/>
        <w:rtl/>
        <w:lang w:bidi="ar-DZ"/>
      </w:rPr>
      <w:alias w:val="Titre"/>
      <w:id w:val="1660387198"/>
      <w:placeholder>
        <w:docPart w:val="E2878ED727D74063B6EF260074871E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46919" w:rsidRPr="00F06539" w:rsidRDefault="00874BC7" w:rsidP="00874BC7">
        <w:pPr>
          <w:pStyle w:val="En-tte"/>
          <w:pBdr>
            <w:bottom w:val="thickThinSmallGap" w:sz="24" w:space="1" w:color="823B0B" w:themeColor="accent2" w:themeShade="7F"/>
          </w:pBdr>
          <w:jc w:val="both"/>
          <w:rPr>
            <w:rFonts w:ascii="Simplified Arabic" w:eastAsiaTheme="majorEastAsia" w:hAnsi="Simplified Arabic" w:cs="Simplified Arabic"/>
            <w:b/>
            <w:bCs/>
            <w:sz w:val="24"/>
            <w:szCs w:val="24"/>
          </w:rPr>
        </w:pPr>
        <w:r>
          <w:rPr>
            <w:rFonts w:ascii="Traditional Arabic" w:hAnsi="Traditional Arabic" w:cs="Traditional Arabic" w:hint="cs"/>
            <w:b/>
            <w:bCs/>
            <w:sz w:val="36"/>
            <w:szCs w:val="36"/>
            <w:rtl/>
            <w:lang w:bidi="ar-DZ"/>
          </w:rPr>
          <w:t>محاضرات عقود الأعمال " عقد البوت"                                           د.عبدلي نزار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68"/>
    <w:multiLevelType w:val="hybridMultilevel"/>
    <w:tmpl w:val="D376E3FE"/>
    <w:lvl w:ilvl="0" w:tplc="7E1C5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9177384"/>
    <w:multiLevelType w:val="hybridMultilevel"/>
    <w:tmpl w:val="86562C2E"/>
    <w:lvl w:ilvl="0" w:tplc="9028D3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787011"/>
    <w:multiLevelType w:val="hybridMultilevel"/>
    <w:tmpl w:val="185E25C6"/>
    <w:lvl w:ilvl="0" w:tplc="5096E5E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12329"/>
    <w:multiLevelType w:val="multilevel"/>
    <w:tmpl w:val="2A7A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1F4D78" w:themeColor="accent1" w:themeShade="7F"/>
      </w:rPr>
    </w:lvl>
    <w:lvl w:ilvl="2">
      <w:start w:val="2"/>
      <w:numFmt w:val="arabicAlpha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C22CB"/>
    <w:multiLevelType w:val="multilevel"/>
    <w:tmpl w:val="E76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9567B"/>
    <w:multiLevelType w:val="multilevel"/>
    <w:tmpl w:val="DA7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61ADE"/>
    <w:multiLevelType w:val="hybridMultilevel"/>
    <w:tmpl w:val="28AE05B0"/>
    <w:lvl w:ilvl="0" w:tplc="502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E1CCE"/>
    <w:multiLevelType w:val="hybridMultilevel"/>
    <w:tmpl w:val="78DE7002"/>
    <w:lvl w:ilvl="0" w:tplc="21004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2C32"/>
    <w:multiLevelType w:val="hybridMultilevel"/>
    <w:tmpl w:val="2CF2A63A"/>
    <w:lvl w:ilvl="0" w:tplc="9DBE196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F627E"/>
    <w:multiLevelType w:val="hybridMultilevel"/>
    <w:tmpl w:val="D35024B0"/>
    <w:lvl w:ilvl="0" w:tplc="198C8A86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D191F"/>
    <w:multiLevelType w:val="hybridMultilevel"/>
    <w:tmpl w:val="A82AF4FE"/>
    <w:lvl w:ilvl="0" w:tplc="B6AC83B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72769"/>
    <w:multiLevelType w:val="multilevel"/>
    <w:tmpl w:val="5B7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173EA"/>
    <w:multiLevelType w:val="hybridMultilevel"/>
    <w:tmpl w:val="51686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82B21"/>
    <w:multiLevelType w:val="hybridMultilevel"/>
    <w:tmpl w:val="0FD480DE"/>
    <w:lvl w:ilvl="0" w:tplc="B394B4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A3C7345"/>
    <w:multiLevelType w:val="hybridMultilevel"/>
    <w:tmpl w:val="EB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67B93"/>
    <w:multiLevelType w:val="hybridMultilevel"/>
    <w:tmpl w:val="F45C00DC"/>
    <w:lvl w:ilvl="0" w:tplc="59C656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76F1F"/>
    <w:multiLevelType w:val="hybridMultilevel"/>
    <w:tmpl w:val="BC8CE99E"/>
    <w:lvl w:ilvl="0" w:tplc="94AC08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1775C3"/>
    <w:multiLevelType w:val="hybridMultilevel"/>
    <w:tmpl w:val="BB58B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36C"/>
    <w:multiLevelType w:val="hybridMultilevel"/>
    <w:tmpl w:val="68F62E92"/>
    <w:lvl w:ilvl="0" w:tplc="370E8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3D17"/>
    <w:multiLevelType w:val="hybridMultilevel"/>
    <w:tmpl w:val="9D32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0550"/>
    <w:multiLevelType w:val="multilevel"/>
    <w:tmpl w:val="F794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935BC"/>
    <w:multiLevelType w:val="multilevel"/>
    <w:tmpl w:val="49D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7CC2"/>
    <w:multiLevelType w:val="hybridMultilevel"/>
    <w:tmpl w:val="A9A6C6E2"/>
    <w:lvl w:ilvl="0" w:tplc="3E967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F0F58"/>
    <w:multiLevelType w:val="hybridMultilevel"/>
    <w:tmpl w:val="8D600886"/>
    <w:lvl w:ilvl="0" w:tplc="8FB81470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E047D"/>
    <w:multiLevelType w:val="hybridMultilevel"/>
    <w:tmpl w:val="D2E66B04"/>
    <w:lvl w:ilvl="0" w:tplc="0B72860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0059"/>
    <w:multiLevelType w:val="hybridMultilevel"/>
    <w:tmpl w:val="3C32B884"/>
    <w:lvl w:ilvl="0" w:tplc="C90C78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458E7"/>
    <w:multiLevelType w:val="hybridMultilevel"/>
    <w:tmpl w:val="101E99EE"/>
    <w:lvl w:ilvl="0" w:tplc="CB1A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76C4A"/>
    <w:multiLevelType w:val="multilevel"/>
    <w:tmpl w:val="1E8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E02E1"/>
    <w:multiLevelType w:val="multilevel"/>
    <w:tmpl w:val="4EF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5555F"/>
    <w:multiLevelType w:val="hybridMultilevel"/>
    <w:tmpl w:val="44E2EA04"/>
    <w:lvl w:ilvl="0" w:tplc="E0FA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E3BD0"/>
    <w:multiLevelType w:val="hybridMultilevel"/>
    <w:tmpl w:val="26862D84"/>
    <w:lvl w:ilvl="0" w:tplc="DB2CA9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6"/>
  </w:num>
  <w:num w:numId="4">
    <w:abstractNumId w:val="18"/>
  </w:num>
  <w:num w:numId="5">
    <w:abstractNumId w:val="28"/>
  </w:num>
  <w:num w:numId="6">
    <w:abstractNumId w:val="12"/>
  </w:num>
  <w:num w:numId="7">
    <w:abstractNumId w:val="22"/>
  </w:num>
  <w:num w:numId="8">
    <w:abstractNumId w:val="4"/>
  </w:num>
  <w:num w:numId="9">
    <w:abstractNumId w:val="19"/>
  </w:num>
  <w:num w:numId="10">
    <w:abstractNumId w:val="25"/>
  </w:num>
  <w:num w:numId="11">
    <w:abstractNumId w:val="17"/>
  </w:num>
  <w:num w:numId="12">
    <w:abstractNumId w:val="10"/>
  </w:num>
  <w:num w:numId="13">
    <w:abstractNumId w:val="0"/>
  </w:num>
  <w:num w:numId="14">
    <w:abstractNumId w:val="5"/>
  </w:num>
  <w:num w:numId="15">
    <w:abstractNumId w:val="29"/>
  </w:num>
  <w:num w:numId="16">
    <w:abstractNumId w:val="11"/>
  </w:num>
  <w:num w:numId="17">
    <w:abstractNumId w:val="21"/>
  </w:num>
  <w:num w:numId="18">
    <w:abstractNumId w:val="9"/>
  </w:num>
  <w:num w:numId="19">
    <w:abstractNumId w:val="13"/>
  </w:num>
  <w:num w:numId="20">
    <w:abstractNumId w:val="26"/>
  </w:num>
  <w:num w:numId="21">
    <w:abstractNumId w:val="8"/>
  </w:num>
  <w:num w:numId="22">
    <w:abstractNumId w:val="31"/>
  </w:num>
  <w:num w:numId="23">
    <w:abstractNumId w:val="14"/>
  </w:num>
  <w:num w:numId="24">
    <w:abstractNumId w:val="6"/>
  </w:num>
  <w:num w:numId="25">
    <w:abstractNumId w:val="23"/>
  </w:num>
  <w:num w:numId="26">
    <w:abstractNumId w:val="30"/>
  </w:num>
  <w:num w:numId="27">
    <w:abstractNumId w:val="3"/>
  </w:num>
  <w:num w:numId="28">
    <w:abstractNumId w:val="1"/>
  </w:num>
  <w:num w:numId="29">
    <w:abstractNumId w:val="2"/>
  </w:num>
  <w:num w:numId="30">
    <w:abstractNumId w:val="15"/>
  </w:num>
  <w:num w:numId="31">
    <w:abstractNumId w:val="20"/>
  </w:num>
  <w:num w:numId="32">
    <w:abstractNumId w:val="24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A61F2"/>
    <w:rsid w:val="0001542B"/>
    <w:rsid w:val="000266A1"/>
    <w:rsid w:val="0003091D"/>
    <w:rsid w:val="00051765"/>
    <w:rsid w:val="00053EA8"/>
    <w:rsid w:val="000546EB"/>
    <w:rsid w:val="00057AEB"/>
    <w:rsid w:val="0008694F"/>
    <w:rsid w:val="00091566"/>
    <w:rsid w:val="000B6CBD"/>
    <w:rsid w:val="000D12F7"/>
    <w:rsid w:val="000D4F6B"/>
    <w:rsid w:val="001041A6"/>
    <w:rsid w:val="001067FE"/>
    <w:rsid w:val="001257F2"/>
    <w:rsid w:val="00190738"/>
    <w:rsid w:val="0019262F"/>
    <w:rsid w:val="001C0613"/>
    <w:rsid w:val="001C24BA"/>
    <w:rsid w:val="001E00E5"/>
    <w:rsid w:val="00201D7F"/>
    <w:rsid w:val="00206761"/>
    <w:rsid w:val="002139C1"/>
    <w:rsid w:val="00215312"/>
    <w:rsid w:val="00246A22"/>
    <w:rsid w:val="0024735B"/>
    <w:rsid w:val="002556FF"/>
    <w:rsid w:val="00261803"/>
    <w:rsid w:val="00265182"/>
    <w:rsid w:val="00294399"/>
    <w:rsid w:val="002A4223"/>
    <w:rsid w:val="002D1629"/>
    <w:rsid w:val="002E5092"/>
    <w:rsid w:val="002F0F04"/>
    <w:rsid w:val="00304E1E"/>
    <w:rsid w:val="003159AD"/>
    <w:rsid w:val="00322238"/>
    <w:rsid w:val="00323558"/>
    <w:rsid w:val="00340D1F"/>
    <w:rsid w:val="00345117"/>
    <w:rsid w:val="00346919"/>
    <w:rsid w:val="00357909"/>
    <w:rsid w:val="0039425D"/>
    <w:rsid w:val="003E08EA"/>
    <w:rsid w:val="003F2802"/>
    <w:rsid w:val="00424EBC"/>
    <w:rsid w:val="0043239F"/>
    <w:rsid w:val="004A496F"/>
    <w:rsid w:val="004F0349"/>
    <w:rsid w:val="00510629"/>
    <w:rsid w:val="00517852"/>
    <w:rsid w:val="005376B1"/>
    <w:rsid w:val="00561882"/>
    <w:rsid w:val="005702BA"/>
    <w:rsid w:val="00571F40"/>
    <w:rsid w:val="00592583"/>
    <w:rsid w:val="005C5CC3"/>
    <w:rsid w:val="005D1056"/>
    <w:rsid w:val="005F0151"/>
    <w:rsid w:val="00600FCF"/>
    <w:rsid w:val="00644D04"/>
    <w:rsid w:val="0068730A"/>
    <w:rsid w:val="006C000B"/>
    <w:rsid w:val="006C46C6"/>
    <w:rsid w:val="006D16B0"/>
    <w:rsid w:val="006D30A6"/>
    <w:rsid w:val="006D7C5A"/>
    <w:rsid w:val="006E1F12"/>
    <w:rsid w:val="00710741"/>
    <w:rsid w:val="00736657"/>
    <w:rsid w:val="00742EF0"/>
    <w:rsid w:val="00743695"/>
    <w:rsid w:val="00766E43"/>
    <w:rsid w:val="00794A09"/>
    <w:rsid w:val="007A4BD6"/>
    <w:rsid w:val="007A5BFA"/>
    <w:rsid w:val="007A692E"/>
    <w:rsid w:val="007B1CCA"/>
    <w:rsid w:val="007C4051"/>
    <w:rsid w:val="007C4112"/>
    <w:rsid w:val="007C44B0"/>
    <w:rsid w:val="007F337B"/>
    <w:rsid w:val="0083288D"/>
    <w:rsid w:val="00842792"/>
    <w:rsid w:val="00853929"/>
    <w:rsid w:val="00861FCD"/>
    <w:rsid w:val="00863DA3"/>
    <w:rsid w:val="00874BC7"/>
    <w:rsid w:val="008915B8"/>
    <w:rsid w:val="008A2559"/>
    <w:rsid w:val="008A40FD"/>
    <w:rsid w:val="008A44A3"/>
    <w:rsid w:val="008A6C86"/>
    <w:rsid w:val="008B28A5"/>
    <w:rsid w:val="008D7F08"/>
    <w:rsid w:val="00906DF5"/>
    <w:rsid w:val="0093751B"/>
    <w:rsid w:val="0095342F"/>
    <w:rsid w:val="009833A5"/>
    <w:rsid w:val="009840C4"/>
    <w:rsid w:val="00984D89"/>
    <w:rsid w:val="00991E25"/>
    <w:rsid w:val="00997363"/>
    <w:rsid w:val="009B046D"/>
    <w:rsid w:val="009B16E4"/>
    <w:rsid w:val="009C1932"/>
    <w:rsid w:val="009C6458"/>
    <w:rsid w:val="009D2004"/>
    <w:rsid w:val="009D5750"/>
    <w:rsid w:val="009E2828"/>
    <w:rsid w:val="009E4836"/>
    <w:rsid w:val="009E58C3"/>
    <w:rsid w:val="00A050D3"/>
    <w:rsid w:val="00A3427B"/>
    <w:rsid w:val="00A3632E"/>
    <w:rsid w:val="00A41305"/>
    <w:rsid w:val="00A50336"/>
    <w:rsid w:val="00A66146"/>
    <w:rsid w:val="00A829EC"/>
    <w:rsid w:val="00A97A0E"/>
    <w:rsid w:val="00AA4ED8"/>
    <w:rsid w:val="00AD7D62"/>
    <w:rsid w:val="00B029F3"/>
    <w:rsid w:val="00B2134F"/>
    <w:rsid w:val="00B43237"/>
    <w:rsid w:val="00B81B1A"/>
    <w:rsid w:val="00BA23E3"/>
    <w:rsid w:val="00BD40B5"/>
    <w:rsid w:val="00BD647C"/>
    <w:rsid w:val="00BF5A26"/>
    <w:rsid w:val="00C076A6"/>
    <w:rsid w:val="00C252E5"/>
    <w:rsid w:val="00C4791B"/>
    <w:rsid w:val="00C6677D"/>
    <w:rsid w:val="00C7616D"/>
    <w:rsid w:val="00C8305E"/>
    <w:rsid w:val="00CD0E54"/>
    <w:rsid w:val="00CD23BC"/>
    <w:rsid w:val="00CD7273"/>
    <w:rsid w:val="00CD7C08"/>
    <w:rsid w:val="00CF0B23"/>
    <w:rsid w:val="00CF72F6"/>
    <w:rsid w:val="00D05A9F"/>
    <w:rsid w:val="00D079B8"/>
    <w:rsid w:val="00D36007"/>
    <w:rsid w:val="00D44C8D"/>
    <w:rsid w:val="00D87719"/>
    <w:rsid w:val="00D94254"/>
    <w:rsid w:val="00DA48F8"/>
    <w:rsid w:val="00DA7E34"/>
    <w:rsid w:val="00DB4E73"/>
    <w:rsid w:val="00DE1D4F"/>
    <w:rsid w:val="00DE3E01"/>
    <w:rsid w:val="00DF0E84"/>
    <w:rsid w:val="00E1498F"/>
    <w:rsid w:val="00E57EAC"/>
    <w:rsid w:val="00E9115D"/>
    <w:rsid w:val="00E9438E"/>
    <w:rsid w:val="00EA2DB0"/>
    <w:rsid w:val="00EA75D0"/>
    <w:rsid w:val="00EC3239"/>
    <w:rsid w:val="00EC7C68"/>
    <w:rsid w:val="00EF46A2"/>
    <w:rsid w:val="00F1168D"/>
    <w:rsid w:val="00F11EE3"/>
    <w:rsid w:val="00F30CED"/>
    <w:rsid w:val="00F45076"/>
    <w:rsid w:val="00F47F28"/>
    <w:rsid w:val="00F66044"/>
    <w:rsid w:val="00F67825"/>
    <w:rsid w:val="00F83C2F"/>
    <w:rsid w:val="00F961E1"/>
    <w:rsid w:val="00F9794A"/>
    <w:rsid w:val="00F97DA4"/>
    <w:rsid w:val="00FA366A"/>
    <w:rsid w:val="00FA61F2"/>
    <w:rsid w:val="00FA66C3"/>
    <w:rsid w:val="00FC1075"/>
    <w:rsid w:val="00FC2967"/>
    <w:rsid w:val="00FC5B87"/>
    <w:rsid w:val="00FF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1F2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C46C6"/>
    <w:pPr>
      <w:keepNext/>
      <w:keepLines/>
      <w:bidi w:val="0"/>
      <w:spacing w:before="480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zh-CN"/>
    </w:rPr>
  </w:style>
  <w:style w:type="paragraph" w:styleId="Titre2">
    <w:name w:val="heading 2"/>
    <w:basedOn w:val="Normal"/>
    <w:next w:val="Normal"/>
    <w:link w:val="Titre2Car"/>
    <w:unhideWhenUsed/>
    <w:qFormat/>
    <w:rsid w:val="006C46C6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paragraph" w:styleId="Titre3">
    <w:name w:val="heading 3"/>
    <w:basedOn w:val="Normal"/>
    <w:link w:val="Titre3Car"/>
    <w:uiPriority w:val="9"/>
    <w:qFormat/>
    <w:rsid w:val="006C46C6"/>
    <w:pPr>
      <w:bidi w:val="0"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6C46C6"/>
    <w:pPr>
      <w:bidi w:val="0"/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C46C6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FA61F2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A61F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FA61F2"/>
    <w:rPr>
      <w:vertAlign w:val="superscript"/>
    </w:rPr>
  </w:style>
  <w:style w:type="character" w:styleId="lev">
    <w:name w:val="Strong"/>
    <w:basedOn w:val="Policepardfaut"/>
    <w:uiPriority w:val="22"/>
    <w:qFormat/>
    <w:rsid w:val="00FA61F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A61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61F2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A61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61F2"/>
    <w:rPr>
      <w:rFonts w:ascii="Adrianne" w:eastAsia="Times New Roman" w:hAnsi="Adrianne" w:cs="Times New Roman"/>
      <w:sz w:val="44"/>
      <w:szCs w:val="44"/>
      <w:lang w:val="en-US"/>
    </w:rPr>
  </w:style>
  <w:style w:type="character" w:styleId="Lienhypertexte">
    <w:name w:val="Hyperlink"/>
    <w:basedOn w:val="Policepardfaut"/>
    <w:uiPriority w:val="99"/>
    <w:unhideWhenUsed/>
    <w:rsid w:val="00EA2DB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8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8E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C46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Titre2Car">
    <w:name w:val="Titre 2 Car"/>
    <w:basedOn w:val="Policepardfaut"/>
    <w:link w:val="Titre2"/>
    <w:rsid w:val="006C46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C46C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C46C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C46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agraphedeliste">
    <w:name w:val="List Paragraph"/>
    <w:basedOn w:val="Normal"/>
    <w:link w:val="ParagraphedelisteCar"/>
    <w:uiPriority w:val="34"/>
    <w:qFormat/>
    <w:rsid w:val="006C46C6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NormalWeb">
    <w:name w:val="Normal (Web)"/>
    <w:basedOn w:val="Normal"/>
    <w:uiPriority w:val="99"/>
    <w:unhideWhenUsed/>
    <w:rsid w:val="006C46C6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uiPriority w:val="99"/>
    <w:rsid w:val="006C46C6"/>
    <w:pPr>
      <w:bidi w:val="0"/>
      <w:jc w:val="right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6C46C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rsid w:val="006C46C6"/>
    <w:pPr>
      <w:jc w:val="center"/>
    </w:pPr>
    <w:rPr>
      <w:rFonts w:ascii="Times New Roman" w:hAnsi="Times New Roman"/>
      <w:b/>
      <w:sz w:val="96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6C46C6"/>
    <w:rPr>
      <w:rFonts w:ascii="Times New Roman" w:eastAsia="Times New Roman" w:hAnsi="Times New Roman" w:cs="Times New Roman"/>
      <w:b/>
      <w:sz w:val="96"/>
      <w:szCs w:val="20"/>
      <w:lang w:eastAsia="fr-FR"/>
    </w:rPr>
  </w:style>
  <w:style w:type="character" w:styleId="Appeldenotedefin">
    <w:name w:val="endnote reference"/>
    <w:uiPriority w:val="99"/>
    <w:unhideWhenUsed/>
    <w:rsid w:val="006C46C6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C46C6"/>
  </w:style>
  <w:style w:type="character" w:customStyle="1" w:styleId="a-size-extra-large">
    <w:name w:val="a-size-extra-large"/>
    <w:basedOn w:val="Policepardfaut"/>
    <w:rsid w:val="006C4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878ED727D74063B6EF260074871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F707B-5E60-4B37-B33D-489F9F12792E}"/>
      </w:docPartPr>
      <w:docPartBody>
        <w:p w:rsidR="00BA482F" w:rsidRDefault="007130F6" w:rsidP="007130F6">
          <w:pPr>
            <w:pStyle w:val="E2878ED727D74063B6EF260074871E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130F6"/>
    <w:rsid w:val="0008340C"/>
    <w:rsid w:val="00174E7A"/>
    <w:rsid w:val="00176019"/>
    <w:rsid w:val="00386E54"/>
    <w:rsid w:val="003E7C32"/>
    <w:rsid w:val="005E6D57"/>
    <w:rsid w:val="007130F6"/>
    <w:rsid w:val="007375E0"/>
    <w:rsid w:val="008C160E"/>
    <w:rsid w:val="008D3402"/>
    <w:rsid w:val="00A0749E"/>
    <w:rsid w:val="00AC572D"/>
    <w:rsid w:val="00B67D20"/>
    <w:rsid w:val="00BA482F"/>
    <w:rsid w:val="00C166F7"/>
    <w:rsid w:val="00C24993"/>
    <w:rsid w:val="00C560E2"/>
    <w:rsid w:val="00D76C98"/>
    <w:rsid w:val="00D91DC5"/>
    <w:rsid w:val="00DA279E"/>
    <w:rsid w:val="00DB758E"/>
    <w:rsid w:val="00EB37C9"/>
    <w:rsid w:val="00EB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2878ED727D74063B6EF260074871E73">
    <w:name w:val="E2878ED727D74063B6EF260074871E73"/>
    <w:rsid w:val="007130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7EAC-9013-4C2C-8101-3D8E1D0D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1215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الأول: عقد البناء، التشغيل ونقل الملكية "البوت "</vt:lpstr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عقود الأعمال " عقد البوت"                                           د.عبدلي نزار</dc:title>
  <dc:creator>ASUS vPro</dc:creator>
  <cp:lastModifiedBy>Acer</cp:lastModifiedBy>
  <cp:revision>5</cp:revision>
  <cp:lastPrinted>2021-04-28T15:50:00Z</cp:lastPrinted>
  <dcterms:created xsi:type="dcterms:W3CDTF">2023-10-22T17:42:00Z</dcterms:created>
  <dcterms:modified xsi:type="dcterms:W3CDTF">2023-10-22T18:02:00Z</dcterms:modified>
</cp:coreProperties>
</file>